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30D551">
      <w:pPr>
        <w:pStyle w:val="80"/>
        <w:overflowPunct w:val="0"/>
        <w:adjustRightInd/>
        <w:textAlignment w:val="auto"/>
        <w:rPr>
          <w:rFonts w:ascii="Times New Roman" w:hAnsi="Times New Roman"/>
          <w:color w:val="auto"/>
          <w:highlight w:val="none"/>
        </w:rPr>
      </w:pPr>
    </w:p>
    <w:p w14:paraId="7D43D977">
      <w:pPr>
        <w:overflowPunct w:val="0"/>
        <w:rPr>
          <w:color w:val="auto"/>
          <w:highlight w:val="none"/>
        </w:rPr>
      </w:pPr>
    </w:p>
    <w:p w14:paraId="1C8FAD4B">
      <w:pPr>
        <w:overflowPunct w:val="0"/>
        <w:rPr>
          <w:color w:val="auto"/>
          <w:highlight w:val="none"/>
        </w:rPr>
      </w:pPr>
    </w:p>
    <w:p w14:paraId="6BB6EEA5">
      <w:pPr>
        <w:overflowPunct w:val="0"/>
        <w:rPr>
          <w:color w:val="auto"/>
          <w:highlight w:val="none"/>
        </w:rPr>
      </w:pPr>
    </w:p>
    <w:p w14:paraId="641979F2">
      <w:pPr>
        <w:spacing w:line="360" w:lineRule="auto"/>
        <w:jc w:val="center"/>
        <w:rPr>
          <w:b/>
          <w:color w:val="auto"/>
          <w:spacing w:val="40"/>
          <w:sz w:val="72"/>
          <w:szCs w:val="72"/>
          <w:highlight w:val="none"/>
        </w:rPr>
      </w:pPr>
      <w:r>
        <w:rPr>
          <w:b/>
          <w:color w:val="auto"/>
          <w:spacing w:val="40"/>
          <w:sz w:val="72"/>
          <w:szCs w:val="72"/>
          <w:highlight w:val="none"/>
        </w:rPr>
        <w:t>苏州市吴江区政府采购</w:t>
      </w:r>
    </w:p>
    <w:p w14:paraId="551A606B">
      <w:pPr>
        <w:spacing w:line="360" w:lineRule="auto"/>
        <w:jc w:val="center"/>
        <w:rPr>
          <w:b/>
          <w:color w:val="auto"/>
          <w:spacing w:val="40"/>
          <w:sz w:val="72"/>
          <w:szCs w:val="72"/>
          <w:highlight w:val="none"/>
        </w:rPr>
      </w:pPr>
      <w:r>
        <w:rPr>
          <w:b/>
          <w:color w:val="auto"/>
          <w:spacing w:val="40"/>
          <w:sz w:val="72"/>
          <w:szCs w:val="72"/>
          <w:highlight w:val="none"/>
        </w:rPr>
        <w:t>竞争性磋商</w:t>
      </w:r>
      <w:r>
        <w:rPr>
          <w:b/>
          <w:color w:val="auto"/>
          <w:spacing w:val="20"/>
          <w:sz w:val="72"/>
          <w:szCs w:val="72"/>
          <w:highlight w:val="none"/>
        </w:rPr>
        <w:t>文件</w:t>
      </w:r>
    </w:p>
    <w:p w14:paraId="2EBFD22E">
      <w:pPr>
        <w:overflowPunct w:val="0"/>
        <w:spacing w:line="360" w:lineRule="auto"/>
        <w:jc w:val="center"/>
        <w:rPr>
          <w:color w:val="auto"/>
          <w:highlight w:val="none"/>
        </w:rPr>
      </w:pPr>
    </w:p>
    <w:p w14:paraId="0D861003">
      <w:pPr>
        <w:overflowPunct w:val="0"/>
        <w:spacing w:line="360" w:lineRule="auto"/>
        <w:jc w:val="center"/>
        <w:rPr>
          <w:color w:val="auto"/>
          <w:highlight w:val="none"/>
        </w:rPr>
      </w:pPr>
    </w:p>
    <w:p w14:paraId="4E846A0B">
      <w:pPr>
        <w:pStyle w:val="84"/>
        <w:rPr>
          <w:rFonts w:ascii="Times New Roman" w:hAnsi="Times New Roman"/>
          <w:color w:val="auto"/>
          <w:highlight w:val="none"/>
        </w:rPr>
      </w:pPr>
    </w:p>
    <w:p w14:paraId="6F9557D2">
      <w:pPr>
        <w:overflowPunct w:val="0"/>
        <w:spacing w:line="360" w:lineRule="auto"/>
        <w:jc w:val="center"/>
        <w:rPr>
          <w:color w:val="auto"/>
          <w:highlight w:val="none"/>
        </w:rPr>
      </w:pPr>
    </w:p>
    <w:p w14:paraId="549D3FAD">
      <w:pPr>
        <w:overflowPunct w:val="0"/>
        <w:spacing w:line="360" w:lineRule="auto"/>
        <w:ind w:left="840" w:leftChars="400"/>
        <w:rPr>
          <w:color w:val="auto"/>
          <w:highlight w:val="none"/>
        </w:rPr>
      </w:pPr>
      <w:bookmarkStart w:id="58" w:name="_GoBack"/>
      <w:bookmarkEnd w:id="58"/>
    </w:p>
    <w:p w14:paraId="60667CE5">
      <w:pPr>
        <w:overflowPunct w:val="0"/>
        <w:spacing w:line="360" w:lineRule="auto"/>
        <w:ind w:left="840" w:leftChars="400"/>
        <w:rPr>
          <w:rFonts w:hint="eastAsia" w:eastAsia="宋体"/>
          <w:b/>
          <w:color w:val="auto"/>
          <w:sz w:val="32"/>
          <w:highlight w:val="none"/>
          <w:lang w:eastAsia="zh-CN"/>
        </w:rPr>
      </w:pPr>
      <w:r>
        <w:rPr>
          <w:b/>
          <w:color w:val="auto"/>
          <w:sz w:val="32"/>
          <w:highlight w:val="none"/>
        </w:rPr>
        <w:t>采购编号：</w:t>
      </w:r>
      <w:r>
        <w:rPr>
          <w:rFonts w:hint="eastAsia"/>
          <w:b/>
          <w:color w:val="auto"/>
          <w:sz w:val="32"/>
          <w:highlight w:val="none"/>
          <w:lang w:eastAsia="zh-CN"/>
        </w:rPr>
        <w:t xml:space="preserve">JSZC-320509-DLZB-C2026-0010 </w:t>
      </w:r>
    </w:p>
    <w:p w14:paraId="2CC92507">
      <w:pPr>
        <w:overflowPunct w:val="0"/>
        <w:spacing w:line="360" w:lineRule="auto"/>
        <w:ind w:left="840" w:leftChars="400"/>
        <w:rPr>
          <w:rFonts w:hint="eastAsia" w:eastAsia="宋体"/>
          <w:b/>
          <w:color w:val="auto"/>
          <w:sz w:val="32"/>
          <w:highlight w:val="none"/>
          <w:lang w:eastAsia="zh-CN"/>
        </w:rPr>
      </w:pPr>
      <w:r>
        <w:rPr>
          <w:b/>
          <w:color w:val="auto"/>
          <w:sz w:val="32"/>
          <w:highlight w:val="none"/>
        </w:rPr>
        <w:t>采购项目：</w:t>
      </w:r>
      <w:r>
        <w:rPr>
          <w:rFonts w:hint="eastAsia" w:ascii="宋体" w:hAnsi="宋体" w:cs="宋体"/>
          <w:b/>
          <w:color w:val="auto"/>
          <w:sz w:val="32"/>
          <w:szCs w:val="32"/>
          <w:highlight w:val="none"/>
          <w:lang w:eastAsia="zh-CN"/>
        </w:rPr>
        <w:t>江苏盛泽医院保安服务</w:t>
      </w:r>
    </w:p>
    <w:p w14:paraId="619267EA">
      <w:pPr>
        <w:overflowPunct w:val="0"/>
        <w:spacing w:line="360" w:lineRule="auto"/>
        <w:ind w:left="2527" w:leftChars="400" w:hanging="1687" w:hangingChars="525"/>
        <w:rPr>
          <w:rFonts w:hint="eastAsia" w:eastAsia="宋体"/>
          <w:b/>
          <w:color w:val="auto"/>
          <w:sz w:val="32"/>
          <w:highlight w:val="none"/>
          <w:lang w:eastAsia="zh-CN"/>
        </w:rPr>
      </w:pPr>
      <w:r>
        <w:rPr>
          <w:b/>
          <w:color w:val="auto"/>
          <w:sz w:val="32"/>
          <w:highlight w:val="none"/>
        </w:rPr>
        <w:t>采购单位：</w:t>
      </w:r>
      <w:r>
        <w:rPr>
          <w:rFonts w:hint="eastAsia"/>
          <w:b/>
          <w:color w:val="auto"/>
          <w:sz w:val="32"/>
          <w:highlight w:val="none"/>
          <w:lang w:eastAsia="zh-CN"/>
        </w:rPr>
        <w:t>江苏盛泽医院</w:t>
      </w:r>
    </w:p>
    <w:p w14:paraId="67582334">
      <w:pPr>
        <w:overflowPunct w:val="0"/>
        <w:spacing w:line="360" w:lineRule="auto"/>
        <w:ind w:left="840" w:leftChars="400"/>
        <w:rPr>
          <w:b/>
          <w:color w:val="auto"/>
          <w:sz w:val="32"/>
          <w:highlight w:val="none"/>
        </w:rPr>
      </w:pPr>
      <w:r>
        <w:rPr>
          <w:b/>
          <w:color w:val="auto"/>
          <w:sz w:val="32"/>
          <w:highlight w:val="none"/>
        </w:rPr>
        <w:t>采购类别：服务类</w:t>
      </w:r>
    </w:p>
    <w:p w14:paraId="6A41C8A8">
      <w:pPr>
        <w:overflowPunct w:val="0"/>
        <w:spacing w:line="360" w:lineRule="auto"/>
        <w:rPr>
          <w:b/>
          <w:color w:val="auto"/>
          <w:sz w:val="32"/>
          <w:highlight w:val="none"/>
        </w:rPr>
      </w:pPr>
      <w:r>
        <w:rPr>
          <w:b/>
          <w:color w:val="auto"/>
          <w:sz w:val="32"/>
          <w:highlight w:val="none"/>
        </w:rPr>
        <w:t xml:space="preserve">                    </w:t>
      </w:r>
    </w:p>
    <w:p w14:paraId="002FD907">
      <w:pPr>
        <w:overflowPunct w:val="0"/>
        <w:spacing w:line="360" w:lineRule="auto"/>
        <w:jc w:val="center"/>
        <w:rPr>
          <w:color w:val="auto"/>
          <w:highlight w:val="none"/>
        </w:rPr>
      </w:pPr>
    </w:p>
    <w:p w14:paraId="19C30EA7">
      <w:pPr>
        <w:pStyle w:val="37"/>
        <w:rPr>
          <w:rFonts w:ascii="Times New Roman"/>
          <w:color w:val="auto"/>
          <w:sz w:val="24"/>
          <w:highlight w:val="none"/>
        </w:rPr>
      </w:pPr>
    </w:p>
    <w:p w14:paraId="78A32A83">
      <w:pPr>
        <w:rPr>
          <w:color w:val="auto"/>
          <w:sz w:val="24"/>
          <w:highlight w:val="none"/>
        </w:rPr>
      </w:pPr>
    </w:p>
    <w:p w14:paraId="6780715D">
      <w:pPr>
        <w:rPr>
          <w:color w:val="auto"/>
          <w:sz w:val="24"/>
          <w:highlight w:val="none"/>
        </w:rPr>
      </w:pPr>
    </w:p>
    <w:p w14:paraId="537B0ECB">
      <w:pPr>
        <w:pStyle w:val="37"/>
        <w:rPr>
          <w:rFonts w:ascii="Times New Roman"/>
          <w:color w:val="auto"/>
          <w:sz w:val="24"/>
          <w:highlight w:val="none"/>
        </w:rPr>
      </w:pPr>
    </w:p>
    <w:p w14:paraId="5E95EABC">
      <w:pPr>
        <w:overflowPunct w:val="0"/>
        <w:spacing w:line="360" w:lineRule="auto"/>
        <w:rPr>
          <w:b/>
          <w:color w:val="auto"/>
          <w:highlight w:val="none"/>
        </w:rPr>
      </w:pPr>
    </w:p>
    <w:p w14:paraId="093E57D0">
      <w:pPr>
        <w:overflowPunct w:val="0"/>
        <w:spacing w:line="360" w:lineRule="auto"/>
        <w:jc w:val="center"/>
        <w:rPr>
          <w:b/>
          <w:color w:val="auto"/>
          <w:sz w:val="32"/>
          <w:highlight w:val="none"/>
        </w:rPr>
      </w:pPr>
      <w:r>
        <w:rPr>
          <w:b/>
          <w:color w:val="auto"/>
          <w:sz w:val="32"/>
          <w:highlight w:val="none"/>
        </w:rPr>
        <w:t>苏州鼎力招投标咨询服务有限公司</w:t>
      </w:r>
    </w:p>
    <w:p w14:paraId="2BB89AFA">
      <w:pPr>
        <w:overflowPunct w:val="0"/>
        <w:spacing w:line="360" w:lineRule="auto"/>
        <w:jc w:val="center"/>
        <w:rPr>
          <w:b/>
          <w:color w:val="auto"/>
          <w:sz w:val="32"/>
          <w:highlight w:val="none"/>
        </w:rPr>
      </w:pPr>
      <w:r>
        <w:rPr>
          <w:rFonts w:hint="eastAsia"/>
          <w:b/>
          <w:color w:val="auto"/>
          <w:sz w:val="32"/>
          <w:highlight w:val="none"/>
        </w:rPr>
        <w:t>202</w:t>
      </w:r>
      <w:r>
        <w:rPr>
          <w:rFonts w:hint="eastAsia"/>
          <w:b/>
          <w:color w:val="auto"/>
          <w:sz w:val="32"/>
          <w:highlight w:val="none"/>
          <w:lang w:val="en-US" w:eastAsia="zh-CN"/>
        </w:rPr>
        <w:t>6</w:t>
      </w:r>
      <w:r>
        <w:rPr>
          <w:b/>
          <w:color w:val="auto"/>
          <w:sz w:val="32"/>
          <w:highlight w:val="none"/>
        </w:rPr>
        <w:t>年</w:t>
      </w:r>
      <w:r>
        <w:rPr>
          <w:rFonts w:hint="eastAsia"/>
          <w:b/>
          <w:color w:val="auto"/>
          <w:sz w:val="32"/>
          <w:highlight w:val="none"/>
          <w:lang w:val="en-US" w:eastAsia="zh-CN"/>
        </w:rPr>
        <w:t>5</w:t>
      </w:r>
      <w:r>
        <w:rPr>
          <w:b/>
          <w:color w:val="auto"/>
          <w:sz w:val="32"/>
          <w:highlight w:val="none"/>
        </w:rPr>
        <w:t>月</w:t>
      </w:r>
    </w:p>
    <w:p w14:paraId="628B62E4">
      <w:pPr>
        <w:overflowPunct w:val="0"/>
        <w:spacing w:line="480" w:lineRule="auto"/>
        <w:jc w:val="both"/>
        <w:rPr>
          <w:b/>
          <w:color w:val="auto"/>
          <w:sz w:val="36"/>
          <w:highlight w:val="none"/>
        </w:rPr>
      </w:pPr>
    </w:p>
    <w:p w14:paraId="12AAFBF5">
      <w:pPr>
        <w:overflowPunct w:val="0"/>
        <w:spacing w:line="480" w:lineRule="auto"/>
        <w:jc w:val="center"/>
        <w:rPr>
          <w:b/>
          <w:color w:val="auto"/>
          <w:sz w:val="36"/>
          <w:highlight w:val="none"/>
        </w:rPr>
      </w:pPr>
    </w:p>
    <w:p w14:paraId="27CA6AC6">
      <w:pPr>
        <w:overflowPunct w:val="0"/>
        <w:spacing w:line="480" w:lineRule="auto"/>
        <w:jc w:val="center"/>
        <w:rPr>
          <w:b/>
          <w:color w:val="auto"/>
          <w:sz w:val="36"/>
          <w:highlight w:val="none"/>
        </w:rPr>
      </w:pPr>
    </w:p>
    <w:p w14:paraId="7396AF20">
      <w:pPr>
        <w:overflowPunct w:val="0"/>
        <w:spacing w:line="480" w:lineRule="auto"/>
        <w:jc w:val="center"/>
        <w:rPr>
          <w:b/>
          <w:color w:val="auto"/>
          <w:sz w:val="36"/>
          <w:highlight w:val="none"/>
        </w:rPr>
      </w:pPr>
      <w:r>
        <w:rPr>
          <w:b/>
          <w:color w:val="auto"/>
          <w:sz w:val="36"/>
          <w:highlight w:val="none"/>
        </w:rPr>
        <w:t>前附表</w:t>
      </w:r>
    </w:p>
    <w:p w14:paraId="56CC83C1">
      <w:pPr>
        <w:pStyle w:val="39"/>
        <w:rPr>
          <w:color w:val="auto"/>
          <w:highlight w:val="none"/>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81"/>
        <w:gridCol w:w="5497"/>
      </w:tblGrid>
      <w:tr w14:paraId="650AA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6563F50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序号</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3D3584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   目</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749BFD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内     容</w:t>
            </w:r>
          </w:p>
        </w:tc>
      </w:tr>
      <w:tr w14:paraId="7A924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1DF9654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E177B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项目编号</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068B4CC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JSZC-320509-DLZB-C2026-0010</w:t>
            </w:r>
          </w:p>
        </w:tc>
      </w:tr>
      <w:tr w14:paraId="252BD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54F2F0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BAF58B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913185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江苏盛泽医院保安服务</w:t>
            </w:r>
          </w:p>
        </w:tc>
      </w:tr>
      <w:tr w14:paraId="5BBFA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A38857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3</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51854FC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采购预算（元）</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707BBFEB">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cs="宋体"/>
                <w:color w:val="auto"/>
                <w:kern w:val="0"/>
                <w:szCs w:val="21"/>
                <w:highlight w:val="none"/>
                <w:lang w:eastAsia="zh-CN"/>
              </w:rPr>
              <w:t>人民币叁佰玖拾万元整（¥3900000.00）（人民币壹佰玖拾伍万元整（¥1950000.00）/年）</w:t>
            </w:r>
          </w:p>
        </w:tc>
      </w:tr>
      <w:tr w14:paraId="77E42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651CB4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4</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32ADA40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联合体投标</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10AEF5FF">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不接受</w:t>
            </w:r>
          </w:p>
        </w:tc>
      </w:tr>
      <w:tr w14:paraId="6B538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490BED8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5</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0737DF4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现场勘察</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72079375">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4D2CE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6BE67D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6</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32F1439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投标答疑会</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DB9E91D">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网上答疑</w:t>
            </w:r>
          </w:p>
        </w:tc>
      </w:tr>
      <w:tr w14:paraId="5384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810302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7</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1F82A7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响应文件份数</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25E3B4C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本项目采用电子响应文件，供应商按照采购文件要求制作上传电子响应文件，供应商无需提供纸质响应文件。</w:t>
            </w:r>
          </w:p>
        </w:tc>
      </w:tr>
      <w:tr w14:paraId="0BFE2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483E846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8</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5705F4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投标货币</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2E04CE63">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w:t>
            </w:r>
          </w:p>
        </w:tc>
      </w:tr>
      <w:tr w14:paraId="5A7A1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8DCE01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9</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4491010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响应文件有效期</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2976719">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90</w:t>
            </w:r>
            <w:r>
              <w:rPr>
                <w:rFonts w:hint="eastAsia" w:ascii="宋体" w:hAnsi="宋体" w:eastAsia="宋体" w:cs="宋体"/>
                <w:color w:val="auto"/>
                <w:sz w:val="21"/>
                <w:szCs w:val="21"/>
                <w:highlight w:val="none"/>
              </w:rPr>
              <w:t>日历天（从投标截止之日算起）</w:t>
            </w:r>
          </w:p>
        </w:tc>
      </w:tr>
      <w:tr w14:paraId="32E96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trPr>
        <w:tc>
          <w:tcPr>
            <w:tcW w:w="805" w:type="dxa"/>
            <w:tcBorders>
              <w:top w:val="single" w:color="auto" w:sz="4" w:space="0"/>
              <w:left w:val="single" w:color="auto" w:sz="4" w:space="0"/>
              <w:right w:val="single" w:color="auto" w:sz="4" w:space="0"/>
            </w:tcBorders>
            <w:noWrap w:val="0"/>
            <w:vAlign w:val="center"/>
          </w:tcPr>
          <w:p w14:paraId="2CAF057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10</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E2AB77F">
            <w:pPr>
              <w:keepNext w:val="0"/>
              <w:keepLines w:val="0"/>
              <w:suppressLineNumbers w:val="0"/>
              <w:spacing w:before="0" w:beforeAutospacing="0" w:after="0" w:afterAutospacing="0" w:line="312"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响应文件网上</w:t>
            </w:r>
          </w:p>
          <w:p w14:paraId="75F47B82">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提交截止时间</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CD3FAF4">
            <w:pPr>
              <w:keepNext w:val="0"/>
              <w:keepLines w:val="0"/>
              <w:suppressLineNumbers w:val="0"/>
              <w:spacing w:before="0" w:beforeAutospacing="0" w:after="0" w:afterAutospacing="0" w:line="312" w:lineRule="auto"/>
              <w:ind w:left="0" w:righ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2026年</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lang w:eastAsia="zh-CN"/>
              </w:rPr>
              <w:t>月</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eastAsia="zh-CN"/>
              </w:rPr>
              <w:t>日</w:t>
            </w:r>
            <w:r>
              <w:rPr>
                <w:rFonts w:hint="eastAsia" w:ascii="宋体" w:hAnsi="宋体" w:eastAsia="宋体" w:cs="宋体"/>
                <w:color w:val="auto"/>
                <w:sz w:val="21"/>
                <w:szCs w:val="21"/>
                <w:highlight w:val="none"/>
                <w:lang w:val="en-US" w:eastAsia="zh-CN"/>
              </w:rPr>
              <w:t>13:30</w:t>
            </w:r>
            <w:r>
              <w:rPr>
                <w:rFonts w:hint="eastAsia" w:ascii="宋体" w:hAnsi="宋体" w:eastAsia="宋体" w:cs="宋体"/>
                <w:color w:val="auto"/>
                <w:sz w:val="21"/>
                <w:szCs w:val="21"/>
                <w:highlight w:val="none"/>
              </w:rPr>
              <w:t>（北京时间）</w:t>
            </w:r>
          </w:p>
          <w:p w14:paraId="2460DA2F">
            <w:pPr>
              <w:keepNext w:val="0"/>
              <w:keepLines w:val="0"/>
              <w:suppressLineNumbers w:val="0"/>
              <w:spacing w:before="0" w:beforeAutospacing="0" w:after="0" w:afterAutospacing="0" w:line="312" w:lineRule="auto"/>
              <w:ind w:left="0" w:leftChars="0" w:right="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响应文件必须在截止时间前完成提交（上传），逾期提交（上传）的响应文件恕不接受。</w:t>
            </w:r>
          </w:p>
        </w:tc>
      </w:tr>
      <w:tr w14:paraId="5F82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trPr>
        <w:tc>
          <w:tcPr>
            <w:tcW w:w="805" w:type="dxa"/>
            <w:tcBorders>
              <w:top w:val="single" w:color="auto" w:sz="4" w:space="0"/>
              <w:left w:val="single" w:color="auto" w:sz="4" w:space="0"/>
              <w:right w:val="single" w:color="auto" w:sz="4" w:space="0"/>
            </w:tcBorders>
            <w:noWrap w:val="0"/>
            <w:vAlign w:val="center"/>
          </w:tcPr>
          <w:p w14:paraId="3B008DD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11</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3E3C0E9">
            <w:pPr>
              <w:keepNext w:val="0"/>
              <w:keepLines w:val="0"/>
              <w:suppressLineNumbers w:val="0"/>
              <w:spacing w:before="0" w:beforeAutospacing="0" w:after="0" w:afterAutospacing="0" w:line="312"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开启时间</w:t>
            </w:r>
          </w:p>
          <w:p w14:paraId="760B702A">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开启地点</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316965F4">
            <w:pPr>
              <w:keepNext w:val="0"/>
              <w:keepLines w:val="0"/>
              <w:suppressLineNumbers w:val="0"/>
              <w:spacing w:before="0" w:beforeAutospacing="0" w:after="0" w:afterAutospacing="0" w:line="312" w:lineRule="auto"/>
              <w:ind w:left="0" w:righ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2026年</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lang w:eastAsia="zh-CN"/>
              </w:rPr>
              <w:t>月</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eastAsia="zh-CN"/>
              </w:rPr>
              <w:t>日</w:t>
            </w:r>
            <w:r>
              <w:rPr>
                <w:rFonts w:hint="eastAsia" w:ascii="宋体" w:hAnsi="宋体" w:eastAsia="宋体" w:cs="宋体"/>
                <w:color w:val="auto"/>
                <w:sz w:val="21"/>
                <w:szCs w:val="21"/>
                <w:highlight w:val="none"/>
                <w:lang w:val="en-US" w:eastAsia="zh-CN"/>
              </w:rPr>
              <w:t>13:30</w:t>
            </w:r>
            <w:r>
              <w:rPr>
                <w:rFonts w:hint="eastAsia" w:ascii="宋体" w:hAnsi="宋体" w:eastAsia="宋体" w:cs="宋体"/>
                <w:color w:val="auto"/>
                <w:sz w:val="21"/>
                <w:szCs w:val="21"/>
                <w:highlight w:val="none"/>
              </w:rPr>
              <w:t>（北京时间）</w:t>
            </w:r>
          </w:p>
          <w:p w14:paraId="72FBF243">
            <w:pPr>
              <w:keepNext w:val="0"/>
              <w:keepLines w:val="0"/>
              <w:suppressLineNumbers w:val="0"/>
              <w:spacing w:before="0" w:beforeAutospacing="0" w:after="0" w:afterAutospacing="0" w:line="312"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\o "http://jszfcg.jsczt.cn/"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http://jszfcg.jsczt.cn/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w:t>
            </w:r>
          </w:p>
          <w:p w14:paraId="6A28ADC8">
            <w:pPr>
              <w:pStyle w:val="81"/>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本项目为不见面磋商项目，开启阶段供应商在【供应商解密】环节必须使用 CA证书解密电子响应文件，如在系统规定的解密时间内未能完成解密的视为放弃参与本项目。</w:t>
            </w:r>
          </w:p>
        </w:tc>
      </w:tr>
      <w:tr w14:paraId="46313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7F86939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43DDA7F4">
            <w:pPr>
              <w:keepNext w:val="0"/>
              <w:keepLines w:val="0"/>
              <w:suppressLineNumbers w:val="0"/>
              <w:spacing w:before="0" w:beforeAutospacing="0" w:after="0" w:afterAutospacing="0" w:line="312"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评审时间</w:t>
            </w:r>
          </w:p>
          <w:p w14:paraId="1854A4A2">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评审地点</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3F0FEFD">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w:t>
            </w:r>
            <w:r>
              <w:rPr>
                <w:rFonts w:hint="eastAsia" w:ascii="宋体" w:hAnsi="宋体" w:cs="宋体"/>
                <w:color w:val="auto"/>
                <w:sz w:val="21"/>
                <w:szCs w:val="21"/>
                <w:highlight w:val="none"/>
                <w:lang w:eastAsia="zh-CN"/>
              </w:rPr>
              <w:t>2026年</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lang w:eastAsia="zh-CN"/>
              </w:rPr>
              <w:t>月</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eastAsia="zh-CN"/>
              </w:rPr>
              <w:t>日</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：30（北京时间）</w:t>
            </w:r>
          </w:p>
          <w:p w14:paraId="57004C4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地点：</w:t>
            </w:r>
            <w:r>
              <w:rPr>
                <w:rFonts w:hint="eastAsia" w:ascii="宋体" w:hAnsi="宋体" w:eastAsia="宋体" w:cs="宋体"/>
                <w:bCs/>
                <w:color w:val="auto"/>
                <w:sz w:val="21"/>
                <w:szCs w:val="21"/>
                <w:highlight w:val="none"/>
              </w:rPr>
              <w:t>苏州市公共资源交易中心吴江分中心开标室（吴江区开平路998号三楼</w:t>
            </w:r>
            <w:r>
              <w:rPr>
                <w:rStyle w:val="70"/>
                <w:rFonts w:hint="eastAsia" w:ascii="宋体" w:hAnsi="宋体" w:eastAsia="宋体" w:cs="宋体"/>
                <w:bCs/>
                <w:color w:val="auto"/>
                <w:sz w:val="21"/>
                <w:szCs w:val="21"/>
                <w:highlight w:val="none"/>
              </w:rPr>
              <w:t>）</w:t>
            </w:r>
          </w:p>
        </w:tc>
      </w:tr>
    </w:tbl>
    <w:p w14:paraId="5F44D9D6">
      <w:pPr>
        <w:jc w:val="center"/>
        <w:rPr>
          <w:b/>
          <w:bCs/>
          <w:color w:val="auto"/>
          <w:sz w:val="52"/>
          <w:szCs w:val="72"/>
          <w:highlight w:val="none"/>
        </w:rPr>
      </w:pPr>
    </w:p>
    <w:p w14:paraId="7E0BF922">
      <w:pPr>
        <w:pStyle w:val="39"/>
        <w:ind w:firstLine="1044"/>
        <w:rPr>
          <w:b/>
          <w:bCs/>
          <w:color w:val="auto"/>
          <w:sz w:val="52"/>
          <w:szCs w:val="72"/>
          <w:highlight w:val="none"/>
        </w:rPr>
      </w:pPr>
    </w:p>
    <w:p w14:paraId="3E60F77C">
      <w:pPr>
        <w:pStyle w:val="95"/>
        <w:jc w:val="center"/>
        <w:rPr>
          <w:rFonts w:ascii="Times New Roman" w:hAnsi="Times New Roman" w:eastAsia="宋体"/>
          <w:b/>
          <w:bCs/>
          <w:color w:val="auto"/>
          <w:sz w:val="36"/>
          <w:szCs w:val="36"/>
          <w:highlight w:val="none"/>
        </w:rPr>
      </w:pPr>
      <w:bookmarkStart w:id="0" w:name="_Toc2269"/>
      <w:r>
        <w:rPr>
          <w:rFonts w:ascii="Times New Roman" w:hAnsi="Times New Roman" w:eastAsia="宋体"/>
          <w:b/>
          <w:bCs/>
          <w:color w:val="auto"/>
          <w:sz w:val="36"/>
          <w:szCs w:val="36"/>
          <w:highlight w:val="none"/>
          <w:lang w:val="zh-CN"/>
        </w:rPr>
        <w:br w:type="page"/>
      </w:r>
      <w:r>
        <w:rPr>
          <w:rFonts w:ascii="Times New Roman" w:hAnsi="Times New Roman" w:eastAsia="宋体"/>
          <w:b/>
          <w:bCs/>
          <w:color w:val="auto"/>
          <w:sz w:val="36"/>
          <w:szCs w:val="36"/>
          <w:highlight w:val="none"/>
          <w:lang w:val="zh-CN"/>
        </w:rPr>
        <w:t>目录</w:t>
      </w:r>
      <w:bookmarkEnd w:id="0"/>
    </w:p>
    <w:p w14:paraId="5E701E34">
      <w:pPr>
        <w:pStyle w:val="75"/>
        <w:tabs>
          <w:tab w:val="right" w:leader="dot" w:pos="8193"/>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TOC \o "1-1" \h \u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_Toc28173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第一章 磋商邀请书</w:t>
      </w:r>
      <w:r>
        <w:rPr>
          <w:rFonts w:hint="eastAsia" w:ascii="宋体" w:hAnsi="宋体" w:cs="宋体"/>
          <w:color w:val="auto"/>
          <w:sz w:val="30"/>
          <w:szCs w:val="30"/>
          <w:highlight w:val="none"/>
        </w:rPr>
        <w:tab/>
      </w:r>
      <w:r>
        <w:rPr>
          <w:rFonts w:hint="eastAsia" w:ascii="宋体" w:hAnsi="宋体" w:cs="宋体"/>
          <w:color w:val="auto"/>
          <w:sz w:val="30"/>
          <w:szCs w:val="30"/>
          <w:highlight w:val="none"/>
        </w:rPr>
        <w:t>1</w:t>
      </w:r>
      <w:r>
        <w:rPr>
          <w:rFonts w:hint="eastAsia" w:ascii="宋体" w:hAnsi="宋体" w:cs="宋体"/>
          <w:color w:val="auto"/>
          <w:sz w:val="30"/>
          <w:szCs w:val="30"/>
          <w:highlight w:val="none"/>
        </w:rPr>
        <w:fldChar w:fldCharType="end"/>
      </w:r>
    </w:p>
    <w:p w14:paraId="4B4A3468">
      <w:pPr>
        <w:pStyle w:val="75"/>
        <w:tabs>
          <w:tab w:val="right" w:leader="dot" w:pos="8193"/>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_Toc24451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第二章 磋商供应商须知</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5</w:t>
      </w:r>
      <w:r>
        <w:rPr>
          <w:rFonts w:hint="eastAsia" w:ascii="宋体" w:hAnsi="宋体" w:cs="宋体"/>
          <w:color w:val="auto"/>
          <w:sz w:val="30"/>
          <w:szCs w:val="30"/>
          <w:highlight w:val="none"/>
        </w:rPr>
        <w:fldChar w:fldCharType="end"/>
      </w:r>
    </w:p>
    <w:p w14:paraId="5DC51CBB">
      <w:pPr>
        <w:pStyle w:val="75"/>
        <w:tabs>
          <w:tab w:val="right" w:leader="dot" w:pos="8193"/>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_Toc16385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w:t>
      </w:r>
      <w:r>
        <w:rPr>
          <w:rFonts w:hint="eastAsia" w:ascii="宋体" w:hAnsi="宋体" w:cs="宋体"/>
          <w:color w:val="auto"/>
          <w:sz w:val="30"/>
          <w:szCs w:val="30"/>
          <w:highlight w:val="none"/>
        </w:rPr>
        <w:t>三</w:t>
      </w:r>
      <w:r>
        <w:rPr>
          <w:rFonts w:hint="eastAsia" w:ascii="宋体" w:hAnsi="宋体" w:cs="宋体"/>
          <w:color w:val="auto"/>
          <w:sz w:val="30"/>
          <w:szCs w:val="30"/>
          <w:highlight w:val="none"/>
          <w:lang w:val="zh-CN"/>
        </w:rPr>
        <w:t>章 响应文件格式</w:t>
      </w:r>
      <w:r>
        <w:rPr>
          <w:rFonts w:hint="eastAsia" w:ascii="宋体" w:hAnsi="宋体" w:cs="宋体"/>
          <w:color w:val="auto"/>
          <w:sz w:val="30"/>
          <w:szCs w:val="30"/>
          <w:highlight w:val="none"/>
        </w:rPr>
        <w:tab/>
      </w:r>
      <w:r>
        <w:rPr>
          <w:rFonts w:hint="eastAsia" w:ascii="宋体" w:hAnsi="宋体" w:cs="宋体"/>
          <w:color w:val="auto"/>
          <w:sz w:val="30"/>
          <w:szCs w:val="30"/>
          <w:highlight w:val="none"/>
        </w:rPr>
        <w:t>1</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8</w:t>
      </w:r>
    </w:p>
    <w:p w14:paraId="1343FD9D">
      <w:pPr>
        <w:pStyle w:val="75"/>
        <w:tabs>
          <w:tab w:val="right" w:leader="dot" w:pos="8193"/>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_Toc30743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w:t>
      </w:r>
      <w:r>
        <w:rPr>
          <w:rFonts w:hint="eastAsia" w:ascii="宋体" w:hAnsi="宋体" w:cs="宋体"/>
          <w:color w:val="auto"/>
          <w:sz w:val="30"/>
          <w:szCs w:val="30"/>
          <w:highlight w:val="none"/>
        </w:rPr>
        <w:t>四</w:t>
      </w:r>
      <w:r>
        <w:rPr>
          <w:rFonts w:hint="eastAsia" w:ascii="宋体" w:hAnsi="宋体" w:cs="宋体"/>
          <w:color w:val="auto"/>
          <w:sz w:val="30"/>
          <w:szCs w:val="30"/>
          <w:highlight w:val="none"/>
          <w:lang w:val="zh-CN"/>
        </w:rPr>
        <w:t xml:space="preserve">章 </w:t>
      </w:r>
      <w:r>
        <w:rPr>
          <w:rFonts w:hint="eastAsia" w:ascii="宋体" w:hAnsi="宋体" w:cs="宋体"/>
          <w:color w:val="auto"/>
          <w:sz w:val="30"/>
          <w:szCs w:val="30"/>
          <w:highlight w:val="none"/>
        </w:rPr>
        <w:t>采购需求</w:t>
      </w:r>
      <w:r>
        <w:rPr>
          <w:rFonts w:hint="eastAsia" w:ascii="宋体" w:hAnsi="宋体" w:cs="宋体"/>
          <w:color w:val="auto"/>
          <w:sz w:val="30"/>
          <w:szCs w:val="30"/>
          <w:highlight w:val="none"/>
        </w:rPr>
        <w:tab/>
      </w:r>
      <w:r>
        <w:rPr>
          <w:rFonts w:hint="eastAsia" w:ascii="宋体" w:hAnsi="宋体" w:cs="宋体"/>
          <w:color w:val="auto"/>
          <w:sz w:val="30"/>
          <w:szCs w:val="30"/>
          <w:highlight w:val="none"/>
        </w:rPr>
        <w:t>3</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9</w:t>
      </w:r>
    </w:p>
    <w:p w14:paraId="77352BCE">
      <w:pPr>
        <w:pStyle w:val="75"/>
        <w:tabs>
          <w:tab w:val="right" w:leader="dot" w:pos="8193"/>
        </w:tabs>
        <w:rPr>
          <w:rFonts w:hint="default"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_Toc6806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w:t>
      </w:r>
      <w:r>
        <w:rPr>
          <w:rFonts w:hint="eastAsia" w:ascii="宋体" w:hAnsi="宋体" w:cs="宋体"/>
          <w:color w:val="auto"/>
          <w:sz w:val="30"/>
          <w:szCs w:val="30"/>
          <w:highlight w:val="none"/>
        </w:rPr>
        <w:t>五</w:t>
      </w:r>
      <w:r>
        <w:rPr>
          <w:rFonts w:hint="eastAsia" w:ascii="宋体" w:hAnsi="宋体" w:cs="宋体"/>
          <w:color w:val="auto"/>
          <w:sz w:val="30"/>
          <w:szCs w:val="30"/>
          <w:highlight w:val="none"/>
          <w:lang w:val="zh-CN"/>
        </w:rPr>
        <w:t>章 合同的主要条款</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46</w:t>
      </w:r>
    </w:p>
    <w:p w14:paraId="4A9E750A">
      <w:pPr>
        <w:pStyle w:val="75"/>
        <w:tabs>
          <w:tab w:val="right" w:leader="dot" w:pos="8193"/>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_Toc3201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第六章 评标办法及评分标准</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5</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3</w:t>
      </w:r>
    </w:p>
    <w:p w14:paraId="32821822">
      <w:pPr>
        <w:spacing w:line="360" w:lineRule="auto"/>
        <w:rPr>
          <w:b/>
          <w:color w:val="auto"/>
          <w:szCs w:val="21"/>
          <w:highlight w:val="none"/>
        </w:rPr>
      </w:pPr>
      <w:r>
        <w:rPr>
          <w:rFonts w:hint="eastAsia" w:ascii="宋体" w:hAnsi="宋体" w:cs="宋体"/>
          <w:color w:val="auto"/>
          <w:sz w:val="30"/>
          <w:szCs w:val="30"/>
          <w:highlight w:val="none"/>
        </w:rPr>
        <w:fldChar w:fldCharType="end"/>
      </w:r>
    </w:p>
    <w:p w14:paraId="4755C03D">
      <w:pPr>
        <w:pStyle w:val="23"/>
        <w:spacing w:after="312" w:afterLines="100"/>
        <w:outlineLvl w:val="0"/>
        <w:rPr>
          <w:rFonts w:ascii="Times New Roman" w:hAnsi="Times New Roman"/>
          <w:color w:val="auto"/>
          <w:sz w:val="44"/>
          <w:szCs w:val="44"/>
          <w:highlight w:val="none"/>
        </w:rPr>
        <w:sectPr>
          <w:headerReference r:id="rId5" w:type="first"/>
          <w:footerReference r:id="rId7" w:type="first"/>
          <w:headerReference r:id="rId4" w:type="default"/>
          <w:footerReference r:id="rId6" w:type="default"/>
          <w:type w:val="continuous"/>
          <w:pgSz w:w="11906" w:h="16838"/>
          <w:pgMar w:top="1440" w:right="1558" w:bottom="1440" w:left="1588" w:header="794" w:footer="930" w:gutter="113"/>
          <w:pgNumType w:start="0"/>
          <w:cols w:space="720" w:num="1"/>
          <w:titlePg/>
          <w:docGrid w:type="lines" w:linePitch="312" w:charSpace="0"/>
        </w:sectPr>
      </w:pPr>
      <w:bookmarkStart w:id="1" w:name="_Toc29131"/>
      <w:bookmarkStart w:id="2" w:name="_Toc10741"/>
      <w:bookmarkStart w:id="3" w:name="_Toc28173"/>
      <w:bookmarkStart w:id="4" w:name="_Toc61514581"/>
    </w:p>
    <w:p w14:paraId="6DD2B210">
      <w:pPr>
        <w:pStyle w:val="23"/>
        <w:spacing w:after="312" w:afterLines="100"/>
        <w:outlineLvl w:val="0"/>
        <w:rPr>
          <w:rFonts w:ascii="Times New Roman" w:hAnsi="Times New Roman"/>
          <w:color w:val="auto"/>
          <w:kern w:val="0"/>
          <w:sz w:val="44"/>
          <w:szCs w:val="44"/>
          <w:highlight w:val="none"/>
        </w:rPr>
      </w:pPr>
      <w:r>
        <w:rPr>
          <w:rFonts w:ascii="Times New Roman" w:hAnsi="Times New Roman"/>
          <w:color w:val="auto"/>
          <w:sz w:val="44"/>
          <w:szCs w:val="44"/>
          <w:highlight w:val="none"/>
        </w:rPr>
        <w:t>第一章 磋商邀请</w:t>
      </w:r>
      <w:bookmarkEnd w:id="1"/>
      <w:bookmarkEnd w:id="2"/>
      <w:bookmarkStart w:id="5" w:name="_Toc25453"/>
      <w:r>
        <w:rPr>
          <w:rFonts w:ascii="Times New Roman" w:hAnsi="Times New Roman"/>
          <w:color w:val="auto"/>
          <w:sz w:val="44"/>
          <w:szCs w:val="44"/>
          <w:highlight w:val="none"/>
        </w:rPr>
        <w:t>书</w:t>
      </w:r>
      <w:bookmarkEnd w:id="3"/>
      <w:bookmarkEnd w:id="4"/>
    </w:p>
    <w:p w14:paraId="14D77681">
      <w:pPr>
        <w:widowControl/>
        <w:spacing w:line="440" w:lineRule="exact"/>
        <w:ind w:firstLine="426"/>
        <w:rPr>
          <w:color w:val="auto"/>
          <w:kern w:val="0"/>
          <w:szCs w:val="21"/>
          <w:highlight w:val="none"/>
        </w:rPr>
      </w:pPr>
      <w:r>
        <w:rPr>
          <w:color w:val="auto"/>
          <w:kern w:val="0"/>
          <w:szCs w:val="21"/>
          <w:highlight w:val="none"/>
        </w:rPr>
        <w:t>受</w:t>
      </w:r>
      <w:r>
        <w:rPr>
          <w:rFonts w:hint="eastAsia"/>
          <w:color w:val="auto"/>
          <w:kern w:val="0"/>
          <w:szCs w:val="21"/>
          <w:highlight w:val="none"/>
          <w:lang w:eastAsia="zh-CN"/>
        </w:rPr>
        <w:t>江苏盛泽医院</w:t>
      </w:r>
      <w:r>
        <w:rPr>
          <w:color w:val="auto"/>
          <w:kern w:val="0"/>
          <w:szCs w:val="21"/>
          <w:highlight w:val="none"/>
        </w:rPr>
        <w:t>的委托，苏州鼎力招投标咨询服务有限公司就其所需的</w:t>
      </w:r>
      <w:r>
        <w:rPr>
          <w:rFonts w:hint="eastAsia"/>
          <w:color w:val="auto"/>
          <w:kern w:val="0"/>
          <w:szCs w:val="21"/>
          <w:highlight w:val="none"/>
          <w:lang w:eastAsia="zh-CN"/>
        </w:rPr>
        <w:t>江苏盛泽医院保安服务</w:t>
      </w:r>
      <w:r>
        <w:rPr>
          <w:color w:val="auto"/>
          <w:kern w:val="0"/>
          <w:szCs w:val="21"/>
          <w:highlight w:val="none"/>
        </w:rPr>
        <w:t>采用竞争性磋商方式进行采购，欢迎符合资格条件的供应商前来参加。</w:t>
      </w:r>
    </w:p>
    <w:p w14:paraId="6B3FC8AF">
      <w:pPr>
        <w:spacing w:line="440" w:lineRule="exact"/>
        <w:ind w:firstLine="422" w:firstLineChars="200"/>
        <w:rPr>
          <w:b/>
          <w:bCs/>
          <w:color w:val="auto"/>
          <w:szCs w:val="21"/>
          <w:highlight w:val="none"/>
        </w:rPr>
      </w:pPr>
      <w:r>
        <w:rPr>
          <w:b/>
          <w:bCs/>
          <w:color w:val="auto"/>
          <w:szCs w:val="21"/>
          <w:highlight w:val="none"/>
        </w:rPr>
        <w:t>一、项目基本情况</w:t>
      </w:r>
    </w:p>
    <w:p w14:paraId="7A4E9E85">
      <w:pPr>
        <w:numPr>
          <w:ilvl w:val="0"/>
          <w:numId w:val="2"/>
        </w:numPr>
        <w:spacing w:line="440" w:lineRule="exact"/>
        <w:ind w:left="425" w:leftChars="200" w:hanging="5"/>
        <w:rPr>
          <w:rFonts w:hint="eastAsia" w:ascii="宋体" w:hAnsi="宋体" w:cs="宋体"/>
          <w:color w:val="auto"/>
          <w:highlight w:val="none"/>
        </w:rPr>
      </w:pPr>
      <w:r>
        <w:rPr>
          <w:b/>
          <w:bCs/>
          <w:color w:val="auto"/>
          <w:szCs w:val="21"/>
          <w:highlight w:val="none"/>
        </w:rPr>
        <w:t>项目编号：</w:t>
      </w:r>
      <w:r>
        <w:rPr>
          <w:rFonts w:hint="eastAsia" w:ascii="宋体" w:hAnsi="宋体" w:cs="宋体"/>
          <w:color w:val="auto"/>
          <w:sz w:val="21"/>
          <w:szCs w:val="21"/>
          <w:highlight w:val="none"/>
          <w:lang w:eastAsia="zh-CN"/>
        </w:rPr>
        <w:t xml:space="preserve">JSZC-320509-DLZB-C2026-0010 </w:t>
      </w:r>
      <w:r>
        <w:rPr>
          <w:rFonts w:hint="eastAsia" w:ascii="宋体" w:hAnsi="宋体" w:cs="宋体"/>
          <w:color w:val="auto"/>
          <w:highlight w:val="none"/>
          <w:lang w:eastAsia="zh-CN"/>
        </w:rPr>
        <w:t xml:space="preserve">      </w:t>
      </w:r>
    </w:p>
    <w:p w14:paraId="6154D68E">
      <w:pPr>
        <w:numPr>
          <w:ilvl w:val="0"/>
          <w:numId w:val="2"/>
        </w:numPr>
        <w:spacing w:line="440" w:lineRule="exact"/>
        <w:ind w:left="425" w:leftChars="200" w:hanging="5"/>
        <w:rPr>
          <w:rFonts w:hint="eastAsia"/>
          <w:color w:val="auto"/>
          <w:szCs w:val="21"/>
          <w:highlight w:val="none"/>
        </w:rPr>
      </w:pPr>
      <w:r>
        <w:rPr>
          <w:b/>
          <w:bCs/>
          <w:color w:val="auto"/>
          <w:szCs w:val="21"/>
          <w:highlight w:val="none"/>
        </w:rPr>
        <w:t>项目名称：</w:t>
      </w:r>
      <w:r>
        <w:rPr>
          <w:rFonts w:hint="eastAsia" w:ascii="宋体" w:hAnsi="宋体" w:cs="宋体"/>
          <w:color w:val="auto"/>
          <w:sz w:val="21"/>
          <w:szCs w:val="21"/>
          <w:highlight w:val="none"/>
          <w:lang w:eastAsia="zh-CN"/>
        </w:rPr>
        <w:t>江苏盛泽医院保安服务</w:t>
      </w:r>
      <w:r>
        <w:rPr>
          <w:rFonts w:hint="eastAsia"/>
          <w:color w:val="auto"/>
          <w:kern w:val="0"/>
          <w:szCs w:val="21"/>
          <w:highlight w:val="none"/>
          <w:lang w:eastAsia="zh-CN"/>
        </w:rPr>
        <w:t xml:space="preserve">       </w:t>
      </w:r>
    </w:p>
    <w:p w14:paraId="5CAE6336">
      <w:pPr>
        <w:numPr>
          <w:ilvl w:val="0"/>
          <w:numId w:val="2"/>
        </w:numPr>
        <w:spacing w:line="440" w:lineRule="exact"/>
        <w:ind w:left="425" w:leftChars="200" w:hanging="5"/>
        <w:rPr>
          <w:rFonts w:hint="eastAsia"/>
          <w:color w:val="auto"/>
          <w:kern w:val="0"/>
          <w:szCs w:val="21"/>
          <w:highlight w:val="none"/>
        </w:rPr>
      </w:pPr>
      <w:r>
        <w:rPr>
          <w:b/>
          <w:bCs/>
          <w:color w:val="auto"/>
          <w:kern w:val="0"/>
          <w:szCs w:val="21"/>
          <w:highlight w:val="none"/>
        </w:rPr>
        <w:t>预算金额：</w:t>
      </w:r>
      <w:r>
        <w:rPr>
          <w:rFonts w:hint="eastAsia" w:ascii="宋体" w:hAnsi="宋体" w:cs="宋体"/>
          <w:color w:val="auto"/>
          <w:kern w:val="0"/>
          <w:szCs w:val="21"/>
          <w:highlight w:val="none"/>
          <w:lang w:eastAsia="zh-CN"/>
        </w:rPr>
        <w:t>人民币叁佰玖拾万元整（¥3900000.00）（人民币壹佰玖拾伍万元整（¥1950000.00）/年）</w:t>
      </w:r>
      <w:r>
        <w:rPr>
          <w:rFonts w:hint="eastAsia"/>
          <w:color w:val="auto"/>
          <w:szCs w:val="21"/>
          <w:highlight w:val="none"/>
          <w:lang w:eastAsia="zh-CN"/>
        </w:rPr>
        <w:t xml:space="preserve">       </w:t>
      </w:r>
    </w:p>
    <w:p w14:paraId="3D58D0F1">
      <w:pPr>
        <w:numPr>
          <w:ilvl w:val="0"/>
          <w:numId w:val="2"/>
        </w:numPr>
        <w:spacing w:line="440" w:lineRule="exact"/>
        <w:ind w:left="425" w:leftChars="200" w:hanging="5"/>
        <w:rPr>
          <w:rFonts w:hint="eastAsia"/>
          <w:color w:val="auto"/>
          <w:kern w:val="0"/>
          <w:szCs w:val="21"/>
          <w:highlight w:val="none"/>
        </w:rPr>
      </w:pPr>
      <w:r>
        <w:rPr>
          <w:rFonts w:hint="eastAsia"/>
          <w:b/>
          <w:bCs/>
          <w:color w:val="auto"/>
          <w:kern w:val="0"/>
          <w:szCs w:val="21"/>
          <w:highlight w:val="none"/>
        </w:rPr>
        <w:t>最高限价：</w:t>
      </w:r>
      <w:r>
        <w:rPr>
          <w:rFonts w:hint="eastAsia" w:ascii="宋体" w:hAnsi="宋体" w:cs="宋体"/>
          <w:color w:val="auto"/>
          <w:kern w:val="0"/>
          <w:szCs w:val="21"/>
          <w:highlight w:val="none"/>
          <w:lang w:eastAsia="zh-CN"/>
        </w:rPr>
        <w:t>人民币叁佰玖拾万元整（¥3900000.00）（人民币壹佰玖拾伍万元整（¥1950000.00）/年）</w:t>
      </w:r>
      <w:r>
        <w:rPr>
          <w:rFonts w:hint="eastAsia"/>
          <w:color w:val="auto"/>
          <w:szCs w:val="21"/>
          <w:highlight w:val="none"/>
          <w:lang w:eastAsia="zh-CN"/>
        </w:rPr>
        <w:t xml:space="preserve">       </w:t>
      </w:r>
    </w:p>
    <w:p w14:paraId="7DCAD005">
      <w:pPr>
        <w:numPr>
          <w:ilvl w:val="0"/>
          <w:numId w:val="2"/>
        </w:numPr>
        <w:spacing w:line="440" w:lineRule="exact"/>
        <w:ind w:left="425" w:leftChars="200" w:hanging="5"/>
        <w:rPr>
          <w:rFonts w:hint="eastAsia"/>
          <w:color w:val="auto"/>
          <w:kern w:val="0"/>
          <w:szCs w:val="21"/>
          <w:highlight w:val="none"/>
        </w:rPr>
      </w:pPr>
      <w:r>
        <w:rPr>
          <w:rFonts w:hint="eastAsia"/>
          <w:b/>
          <w:bCs/>
          <w:color w:val="auto"/>
          <w:kern w:val="0"/>
          <w:szCs w:val="21"/>
          <w:highlight w:val="none"/>
        </w:rPr>
        <w:t>采购标的所属行业：</w:t>
      </w:r>
      <w:r>
        <w:rPr>
          <w:rFonts w:hint="eastAsia" w:ascii="宋体" w:hAnsi="宋体" w:cs="宋体"/>
          <w:color w:val="auto"/>
          <w:kern w:val="0"/>
          <w:szCs w:val="21"/>
          <w:highlight w:val="none"/>
        </w:rPr>
        <w:t>租赁和商务服务业</w:t>
      </w:r>
    </w:p>
    <w:p w14:paraId="3181EC37">
      <w:pPr>
        <w:numPr>
          <w:ilvl w:val="0"/>
          <w:numId w:val="2"/>
        </w:numPr>
        <w:spacing w:line="440" w:lineRule="exact"/>
        <w:ind w:left="5" w:firstLine="415"/>
        <w:rPr>
          <w:rFonts w:hint="eastAsia"/>
          <w:b/>
          <w:bCs/>
          <w:color w:val="auto"/>
          <w:szCs w:val="21"/>
          <w:highlight w:val="none"/>
        </w:rPr>
      </w:pPr>
      <w:r>
        <w:rPr>
          <w:rFonts w:hint="eastAsia"/>
          <w:b/>
          <w:bCs/>
          <w:color w:val="auto"/>
          <w:szCs w:val="21"/>
          <w:highlight w:val="none"/>
          <w:lang w:val="en-US" w:eastAsia="zh-CN"/>
        </w:rPr>
        <w:t>服务</w:t>
      </w:r>
      <w:r>
        <w:rPr>
          <w:b/>
          <w:bCs/>
          <w:color w:val="auto"/>
          <w:szCs w:val="21"/>
          <w:highlight w:val="none"/>
        </w:rPr>
        <w:t>期限：</w:t>
      </w:r>
      <w:r>
        <w:rPr>
          <w:rFonts w:hint="eastAsia" w:ascii="宋体" w:hAnsi="宋体"/>
          <w:color w:val="auto"/>
          <w:szCs w:val="21"/>
          <w:highlight w:val="none"/>
          <w:lang w:eastAsia="zh-CN"/>
        </w:rPr>
        <w:t>两年（具体按采购单位要求）</w:t>
      </w:r>
      <w:r>
        <w:rPr>
          <w:rFonts w:hint="eastAsia" w:hAnsi="宋体"/>
          <w:color w:val="auto"/>
          <w:highlight w:val="none"/>
        </w:rPr>
        <w:t>。</w:t>
      </w:r>
    </w:p>
    <w:p w14:paraId="281D931C">
      <w:pPr>
        <w:numPr>
          <w:ilvl w:val="0"/>
          <w:numId w:val="2"/>
        </w:numPr>
        <w:spacing w:line="440" w:lineRule="exact"/>
        <w:ind w:left="5" w:firstLine="415"/>
        <w:rPr>
          <w:rFonts w:hint="eastAsia"/>
          <w:color w:val="auto"/>
          <w:highlight w:val="none"/>
        </w:rPr>
      </w:pPr>
      <w:r>
        <w:rPr>
          <w:rFonts w:hint="eastAsia"/>
          <w:b/>
          <w:bCs/>
          <w:color w:val="auto"/>
          <w:szCs w:val="21"/>
          <w:highlight w:val="none"/>
        </w:rPr>
        <w:t>采购需求：</w:t>
      </w:r>
      <w:r>
        <w:rPr>
          <w:rFonts w:hint="eastAsia"/>
          <w:b w:val="0"/>
          <w:bCs w:val="0"/>
          <w:color w:val="auto"/>
          <w:szCs w:val="21"/>
          <w:highlight w:val="none"/>
          <w:lang w:eastAsia="zh-CN"/>
        </w:rPr>
        <w:t>江苏盛泽医院保安服务</w:t>
      </w:r>
      <w:r>
        <w:rPr>
          <w:rFonts w:hint="eastAsia"/>
          <w:b w:val="0"/>
          <w:bCs w:val="0"/>
          <w:color w:val="auto"/>
          <w:szCs w:val="21"/>
          <w:highlight w:val="none"/>
          <w:lang w:val="en-US" w:eastAsia="zh-CN"/>
        </w:rPr>
        <w:t>,</w:t>
      </w:r>
      <w:r>
        <w:rPr>
          <w:rFonts w:hint="eastAsia" w:hAnsi="宋体"/>
          <w:color w:val="auto"/>
          <w:kern w:val="0"/>
          <w:szCs w:val="21"/>
          <w:highlight w:val="none"/>
        </w:rPr>
        <w:t>详见磋商文件第</w:t>
      </w:r>
      <w:r>
        <w:rPr>
          <w:rFonts w:hint="eastAsia" w:hAnsi="宋体"/>
          <w:color w:val="auto"/>
          <w:kern w:val="0"/>
          <w:szCs w:val="21"/>
          <w:highlight w:val="none"/>
          <w:lang w:val="en-US" w:eastAsia="zh-CN"/>
        </w:rPr>
        <w:t>四</w:t>
      </w:r>
      <w:r>
        <w:rPr>
          <w:rFonts w:hint="eastAsia" w:hAnsi="宋体"/>
          <w:color w:val="auto"/>
          <w:kern w:val="0"/>
          <w:szCs w:val="21"/>
          <w:highlight w:val="none"/>
        </w:rPr>
        <w:t>章。</w:t>
      </w:r>
    </w:p>
    <w:p w14:paraId="3C534159">
      <w:pPr>
        <w:numPr>
          <w:ilvl w:val="0"/>
          <w:numId w:val="2"/>
        </w:numPr>
        <w:spacing w:line="440" w:lineRule="exact"/>
        <w:ind w:left="425" w:leftChars="200" w:hanging="5"/>
        <w:rPr>
          <w:b/>
          <w:bCs/>
          <w:color w:val="auto"/>
          <w:szCs w:val="21"/>
          <w:highlight w:val="none"/>
        </w:rPr>
      </w:pPr>
      <w:r>
        <w:rPr>
          <w:b/>
          <w:bCs/>
          <w:color w:val="auto"/>
          <w:szCs w:val="21"/>
          <w:highlight w:val="none"/>
        </w:rPr>
        <w:t>本项目不接受联合体投标。</w:t>
      </w:r>
    </w:p>
    <w:p w14:paraId="76004FC1">
      <w:pPr>
        <w:numPr>
          <w:ilvl w:val="0"/>
          <w:numId w:val="2"/>
        </w:numPr>
        <w:spacing w:line="440" w:lineRule="exact"/>
        <w:ind w:left="425" w:leftChars="200" w:hanging="5"/>
        <w:rPr>
          <w:b/>
          <w:bCs/>
          <w:color w:val="auto"/>
          <w:szCs w:val="21"/>
          <w:highlight w:val="none"/>
        </w:rPr>
      </w:pPr>
      <w:r>
        <w:rPr>
          <w:b/>
          <w:bCs/>
          <w:color w:val="auto"/>
          <w:szCs w:val="21"/>
          <w:highlight w:val="none"/>
        </w:rPr>
        <w:t>本项目不允许转包、分包。</w:t>
      </w:r>
    </w:p>
    <w:p w14:paraId="7A1DEAE4">
      <w:pPr>
        <w:spacing w:line="440" w:lineRule="exact"/>
        <w:ind w:firstLine="422" w:firstLineChars="200"/>
        <w:rPr>
          <w:b/>
          <w:bCs/>
          <w:color w:val="auto"/>
          <w:szCs w:val="21"/>
          <w:highlight w:val="none"/>
        </w:rPr>
      </w:pPr>
      <w:r>
        <w:rPr>
          <w:b/>
          <w:bCs/>
          <w:color w:val="auto"/>
          <w:szCs w:val="21"/>
          <w:highlight w:val="none"/>
        </w:rPr>
        <w:t>二、申请人的资格要求：</w:t>
      </w:r>
    </w:p>
    <w:p w14:paraId="148C0465">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1.满足《中华人民共和国政府采购法》第二十二条规定</w:t>
      </w:r>
      <w:r>
        <w:rPr>
          <w:rFonts w:ascii="Times New Roman" w:hAnsi="Times New Roman"/>
          <w:bCs/>
          <w:color w:val="auto"/>
          <w:sz w:val="21"/>
          <w:szCs w:val="21"/>
          <w:highlight w:val="none"/>
        </w:rPr>
        <w:t>，供应商应当具备下列条件</w:t>
      </w:r>
      <w:r>
        <w:rPr>
          <w:color w:val="auto"/>
          <w:kern w:val="0"/>
          <w:szCs w:val="21"/>
          <w:highlight w:val="none"/>
        </w:rPr>
        <w:t>；</w:t>
      </w:r>
    </w:p>
    <w:p w14:paraId="6D7AD3BF">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1.1.具有独立承担民事责任的能力；</w:t>
      </w:r>
    </w:p>
    <w:p w14:paraId="2D1F9EC7">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1.2.具有良好的商业信誉和健全的财务会计制度；</w:t>
      </w:r>
    </w:p>
    <w:p w14:paraId="0B337720">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1.3.具有履行合同所必需的设备和专业技术能力；</w:t>
      </w:r>
    </w:p>
    <w:p w14:paraId="0DAF97B6">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1.4.有依法缴纳税收和社会保障资金的良好记录；</w:t>
      </w:r>
    </w:p>
    <w:p w14:paraId="4EAC9643">
      <w:pPr>
        <w:widowControl/>
        <w:shd w:val="clear" w:color="auto" w:fill="FFFFFF"/>
        <w:adjustRightInd w:val="0"/>
        <w:snapToGrid w:val="0"/>
        <w:spacing w:line="440" w:lineRule="exact"/>
        <w:ind w:firstLine="424" w:firstLineChars="202"/>
        <w:jc w:val="left"/>
        <w:rPr>
          <w:rFonts w:hint="eastAsia"/>
          <w:color w:val="auto"/>
          <w:kern w:val="0"/>
          <w:szCs w:val="21"/>
          <w:highlight w:val="none"/>
          <w:lang w:eastAsia="zh-CN"/>
        </w:rPr>
      </w:pPr>
      <w:r>
        <w:rPr>
          <w:color w:val="auto"/>
          <w:kern w:val="0"/>
          <w:szCs w:val="21"/>
          <w:highlight w:val="none"/>
        </w:rPr>
        <w:t>1.5.参加政府采购活动前三年内，在经营活动中没有重大违法记录</w:t>
      </w:r>
      <w:r>
        <w:rPr>
          <w:rFonts w:hint="eastAsia"/>
          <w:color w:val="auto"/>
          <w:kern w:val="0"/>
          <w:szCs w:val="21"/>
          <w:highlight w:val="none"/>
          <w:lang w:eastAsia="zh-CN"/>
        </w:rPr>
        <w:t>。</w:t>
      </w:r>
    </w:p>
    <w:p w14:paraId="62EE6523">
      <w:pPr>
        <w:widowControl/>
        <w:shd w:val="clear" w:color="auto" w:fill="FFFFFF"/>
        <w:adjustRightInd w:val="0"/>
        <w:snapToGrid w:val="0"/>
        <w:spacing w:line="440" w:lineRule="exact"/>
        <w:ind w:firstLine="424" w:firstLineChars="202"/>
        <w:jc w:val="left"/>
        <w:rPr>
          <w:rFonts w:hint="eastAsia"/>
          <w:color w:val="auto"/>
          <w:kern w:val="0"/>
          <w:szCs w:val="21"/>
          <w:highlight w:val="none"/>
          <w:lang w:eastAsia="zh-CN"/>
        </w:rPr>
      </w:pPr>
      <w:r>
        <w:rPr>
          <w:rFonts w:hint="eastAsia"/>
          <w:color w:val="auto"/>
          <w:kern w:val="0"/>
          <w:szCs w:val="21"/>
          <w:highlight w:val="none"/>
          <w:lang w:val="en-US" w:eastAsia="zh-CN"/>
        </w:rPr>
        <w:t>1.6</w:t>
      </w:r>
      <w:r>
        <w:rPr>
          <w:rFonts w:hint="eastAsia"/>
          <w:color w:val="auto"/>
          <w:kern w:val="0"/>
          <w:szCs w:val="21"/>
          <w:highlight w:val="none"/>
          <w:lang w:eastAsia="zh-CN"/>
        </w:rPr>
        <w:t>法律、行政法规规定的其他条件。</w:t>
      </w:r>
    </w:p>
    <w:p w14:paraId="4FFD1706">
      <w:pPr>
        <w:spacing w:line="440" w:lineRule="exact"/>
        <w:ind w:firstLine="424" w:firstLineChars="202"/>
        <w:rPr>
          <w:rFonts w:hint="eastAsia"/>
          <w:color w:val="auto"/>
          <w:kern w:val="0"/>
          <w:szCs w:val="21"/>
          <w:highlight w:val="none"/>
        </w:rPr>
      </w:pPr>
      <w:r>
        <w:rPr>
          <w:rFonts w:hint="eastAsia"/>
          <w:color w:val="auto"/>
          <w:kern w:val="0"/>
          <w:szCs w:val="21"/>
          <w:highlight w:val="none"/>
        </w:rPr>
        <w:t>2.落实政府釆购政策需满足的资格要求：</w:t>
      </w:r>
      <w:r>
        <w:rPr>
          <w:rFonts w:hint="eastAsia" w:ascii="宋体" w:hAnsi="宋体" w:cs="宋体"/>
          <w:b/>
          <w:bCs/>
          <w:color w:val="auto"/>
          <w:kern w:val="0"/>
          <w:szCs w:val="21"/>
          <w:highlight w:val="none"/>
        </w:rPr>
        <w:t>根据《政府采购促进中小企业发展管理办法》的相关规定，本项目专门面向中小企业，承接服务的供应商应为中小微企业、监狱企业、残疾人福利性单位。</w:t>
      </w:r>
    </w:p>
    <w:p w14:paraId="61172A0B">
      <w:pPr>
        <w:spacing w:line="440" w:lineRule="exact"/>
        <w:ind w:firstLine="426" w:firstLineChars="202"/>
        <w:rPr>
          <w:rFonts w:hint="eastAsia"/>
          <w:b/>
          <w:bCs/>
          <w:color w:val="auto"/>
          <w:kern w:val="0"/>
          <w:szCs w:val="21"/>
          <w:highlight w:val="none"/>
        </w:rPr>
      </w:pPr>
      <w:r>
        <w:rPr>
          <w:rFonts w:hint="eastAsia"/>
          <w:b/>
          <w:bCs/>
          <w:color w:val="auto"/>
          <w:kern w:val="0"/>
          <w:szCs w:val="21"/>
          <w:highlight w:val="none"/>
        </w:rPr>
        <w:t>3.本项目的特定资格要求：具有经公安部门批准的《保安服务许可证》。</w:t>
      </w:r>
    </w:p>
    <w:p w14:paraId="7430EF2A">
      <w:pPr>
        <w:spacing w:line="440" w:lineRule="exact"/>
        <w:ind w:firstLine="424" w:firstLineChars="202"/>
        <w:rPr>
          <w:rFonts w:hint="eastAsia"/>
          <w:color w:val="auto"/>
          <w:kern w:val="0"/>
          <w:szCs w:val="21"/>
          <w:highlight w:val="none"/>
        </w:rPr>
      </w:pPr>
      <w:r>
        <w:rPr>
          <w:rFonts w:hint="eastAsia"/>
          <w:color w:val="auto"/>
          <w:kern w:val="0"/>
          <w:szCs w:val="21"/>
          <w:highlight w:val="none"/>
        </w:rPr>
        <w:t>其他要求：</w:t>
      </w:r>
    </w:p>
    <w:p w14:paraId="102A0F34">
      <w:pPr>
        <w:spacing w:line="440" w:lineRule="exact"/>
        <w:ind w:firstLine="424" w:firstLineChars="202"/>
        <w:rPr>
          <w:rFonts w:hint="eastAsia"/>
          <w:color w:val="auto"/>
          <w:kern w:val="0"/>
          <w:szCs w:val="21"/>
          <w:highlight w:val="none"/>
        </w:rPr>
      </w:pPr>
      <w:r>
        <w:rPr>
          <w:rFonts w:hint="eastAsia"/>
          <w:color w:val="auto"/>
          <w:kern w:val="0"/>
          <w:szCs w:val="21"/>
          <w:highlight w:val="none"/>
        </w:rPr>
        <w:t>（1）</w:t>
      </w:r>
      <w:r>
        <w:rPr>
          <w:rFonts w:hint="eastAsia"/>
          <w:b/>
          <w:bCs/>
          <w:color w:val="auto"/>
          <w:kern w:val="0"/>
          <w:szCs w:val="21"/>
          <w:highlight w:val="none"/>
        </w:rPr>
        <w:t>★</w:t>
      </w:r>
      <w:r>
        <w:rPr>
          <w:rFonts w:hint="eastAsia"/>
          <w:color w:val="auto"/>
          <w:kern w:val="0"/>
          <w:szCs w:val="21"/>
          <w:highlight w:val="none"/>
        </w:rPr>
        <w:t>单位负责人为同一人或者存在直接控股、管理关系的不同供应商，不得参加同一合同项下的政府采购活动。</w:t>
      </w:r>
    </w:p>
    <w:p w14:paraId="4B43048F">
      <w:pPr>
        <w:spacing w:line="440" w:lineRule="exact"/>
        <w:ind w:firstLine="424" w:firstLineChars="202"/>
        <w:rPr>
          <w:rFonts w:hint="eastAsia"/>
          <w:color w:val="auto"/>
          <w:kern w:val="0"/>
          <w:szCs w:val="21"/>
          <w:highlight w:val="none"/>
        </w:rPr>
      </w:pPr>
      <w:r>
        <w:rPr>
          <w:rFonts w:hint="eastAsia"/>
          <w:color w:val="auto"/>
          <w:kern w:val="0"/>
          <w:szCs w:val="21"/>
          <w:highlight w:val="none"/>
        </w:rPr>
        <w:t>（2）</w:t>
      </w:r>
      <w:r>
        <w:rPr>
          <w:rFonts w:hint="eastAsia"/>
          <w:b/>
          <w:bCs/>
          <w:color w:val="auto"/>
          <w:kern w:val="0"/>
          <w:szCs w:val="21"/>
          <w:highlight w:val="none"/>
        </w:rPr>
        <w:t>★</w:t>
      </w:r>
      <w:r>
        <w:rPr>
          <w:rFonts w:hint="eastAsia"/>
          <w:color w:val="auto"/>
          <w:kern w:val="0"/>
          <w:szCs w:val="21"/>
          <w:highlight w:val="none"/>
        </w:rPr>
        <w:t>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p>
    <w:p w14:paraId="76DE077E">
      <w:pPr>
        <w:spacing w:line="440" w:lineRule="exact"/>
        <w:ind w:firstLine="422" w:firstLineChars="200"/>
        <w:rPr>
          <w:b/>
          <w:bCs/>
          <w:color w:val="auto"/>
          <w:szCs w:val="21"/>
          <w:highlight w:val="none"/>
        </w:rPr>
      </w:pPr>
      <w:r>
        <w:rPr>
          <w:b/>
          <w:bCs/>
          <w:color w:val="auto"/>
          <w:szCs w:val="21"/>
          <w:highlight w:val="none"/>
        </w:rPr>
        <w:t>三、获取采购文件</w:t>
      </w:r>
    </w:p>
    <w:p w14:paraId="611F4870">
      <w:pPr>
        <w:widowControl/>
        <w:spacing w:line="400" w:lineRule="exact"/>
        <w:ind w:firstLine="420" w:firstLineChars="200"/>
        <w:jc w:val="left"/>
        <w:rPr>
          <w:color w:val="auto"/>
          <w:szCs w:val="21"/>
          <w:highlight w:val="none"/>
          <w:u w:val="single"/>
        </w:rPr>
      </w:pPr>
      <w:r>
        <w:rPr>
          <w:rFonts w:hint="eastAsia"/>
          <w:color w:val="auto"/>
          <w:szCs w:val="21"/>
          <w:highlight w:val="none"/>
          <w:lang w:val="en-US" w:eastAsia="zh-CN"/>
        </w:rPr>
        <w:t>1.</w:t>
      </w:r>
      <w:r>
        <w:rPr>
          <w:rFonts w:hint="eastAsia"/>
          <w:color w:val="auto"/>
          <w:szCs w:val="21"/>
          <w:highlight w:val="none"/>
        </w:rPr>
        <w:t>本项目实行供应商网上报名，网上报名截止时间：</w:t>
      </w:r>
      <w:r>
        <w:rPr>
          <w:rFonts w:hint="eastAsia" w:ascii="宋体" w:hAnsi="宋体" w:cs="宋体"/>
          <w:color w:val="auto"/>
          <w:sz w:val="21"/>
          <w:szCs w:val="21"/>
          <w:highlight w:val="none"/>
          <w:u w:val="single"/>
          <w:lang w:eastAsia="zh-CN"/>
        </w:rPr>
        <w:t>2026年</w:t>
      </w:r>
      <w:r>
        <w:rPr>
          <w:rFonts w:hint="eastAsia" w:ascii="宋体" w:hAnsi="宋体" w:cs="宋体"/>
          <w:color w:val="auto"/>
          <w:sz w:val="21"/>
          <w:szCs w:val="21"/>
          <w:highlight w:val="none"/>
          <w:u w:val="single"/>
          <w:lang w:val="en-US" w:eastAsia="zh-CN"/>
        </w:rPr>
        <w:t>5</w:t>
      </w:r>
      <w:r>
        <w:rPr>
          <w:rFonts w:hint="eastAsia" w:ascii="宋体" w:hAnsi="宋体" w:cs="宋体"/>
          <w:color w:val="auto"/>
          <w:sz w:val="21"/>
          <w:szCs w:val="21"/>
          <w:highlight w:val="none"/>
          <w:u w:val="single"/>
          <w:lang w:eastAsia="zh-CN"/>
        </w:rPr>
        <w:t>月</w:t>
      </w:r>
      <w:r>
        <w:rPr>
          <w:rFonts w:hint="eastAsia" w:ascii="宋体" w:hAnsi="宋体" w:cs="宋体"/>
          <w:color w:val="auto"/>
          <w:sz w:val="21"/>
          <w:szCs w:val="21"/>
          <w:highlight w:val="none"/>
          <w:u w:val="single"/>
          <w:lang w:val="en-US" w:eastAsia="zh-CN"/>
        </w:rPr>
        <w:t>29</w:t>
      </w:r>
      <w:r>
        <w:rPr>
          <w:rFonts w:hint="eastAsia" w:ascii="宋体" w:hAnsi="宋体" w:cs="宋体"/>
          <w:color w:val="auto"/>
          <w:sz w:val="21"/>
          <w:szCs w:val="21"/>
          <w:highlight w:val="none"/>
          <w:u w:val="single"/>
          <w:lang w:eastAsia="zh-CN"/>
        </w:rPr>
        <w:t>日</w:t>
      </w:r>
      <w:r>
        <w:rPr>
          <w:color w:val="auto"/>
          <w:szCs w:val="21"/>
          <w:highlight w:val="none"/>
        </w:rPr>
        <w:t>17</w:t>
      </w:r>
      <w:r>
        <w:rPr>
          <w:rFonts w:hint="eastAsia"/>
          <w:color w:val="auto"/>
          <w:szCs w:val="21"/>
          <w:highlight w:val="none"/>
        </w:rPr>
        <w:t>:30（北京时间）</w:t>
      </w:r>
    </w:p>
    <w:p w14:paraId="61F40517">
      <w:pPr>
        <w:widowControl/>
        <w:spacing w:line="400" w:lineRule="exact"/>
        <w:ind w:firstLine="422" w:firstLineChars="200"/>
        <w:jc w:val="left"/>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2.报名流程：</w:t>
      </w:r>
    </w:p>
    <w:p w14:paraId="75D3E3D6">
      <w:pPr>
        <w:widowControl/>
        <w:spacing w:line="400" w:lineRule="exact"/>
        <w:ind w:firstLine="422" w:firstLineChars="200"/>
        <w:jc w:val="left"/>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（1）CA证书办理 </w:t>
      </w:r>
    </w:p>
    <w:p w14:paraId="723FBF38">
      <w:pPr>
        <w:widowControl/>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 </w:t>
      </w:r>
    </w:p>
    <w:p w14:paraId="34FCCD3F">
      <w:pPr>
        <w:widowControl/>
        <w:spacing w:line="400" w:lineRule="exact"/>
        <w:ind w:firstLine="422" w:firstLineChars="200"/>
        <w:jc w:val="left"/>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（2）参与采购活动 </w:t>
      </w:r>
    </w:p>
    <w:p w14:paraId="19351719">
      <w:pPr>
        <w:widowControl/>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p>
    <w:p w14:paraId="3D63173B">
      <w:pPr>
        <w:widowControl/>
        <w:spacing w:line="400" w:lineRule="exact"/>
        <w:ind w:firstLine="422" w:firstLineChars="200"/>
        <w:jc w:val="left"/>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（3）电子投标准备 </w:t>
      </w:r>
    </w:p>
    <w:p w14:paraId="77D7C35B">
      <w:pPr>
        <w:widowControl/>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p>
    <w:p w14:paraId="546BE812">
      <w:pPr>
        <w:widowControl/>
        <w:spacing w:line="400" w:lineRule="exact"/>
        <w:ind w:firstLine="422"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b/>
          <w:bCs/>
          <w:color w:val="auto"/>
          <w:szCs w:val="21"/>
          <w:highlight w:val="none"/>
          <w:lang w:val="en-US" w:eastAsia="zh-CN"/>
        </w:rPr>
        <w:t>（4）补充通知</w:t>
      </w:r>
      <w:r>
        <w:rPr>
          <w:rFonts w:hint="eastAsia" w:ascii="Times New Roman" w:hAnsi="Times New Roman" w:eastAsia="宋体" w:cs="Times New Roman"/>
          <w:color w:val="auto"/>
          <w:szCs w:val="21"/>
          <w:highlight w:val="none"/>
          <w:lang w:val="en-US" w:eastAsia="zh-CN"/>
        </w:rPr>
        <w:t>（如有）。成功获取磋商文件的供应商通过“苏州市政府采购网”或“苏采云”系统自行查看所报项目的补充通知。</w:t>
      </w:r>
    </w:p>
    <w:p w14:paraId="5D4C3981">
      <w:pPr>
        <w:widowControl/>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3.在网上报名和磋商过程中如有疑问，请按以下方式联系：</w:t>
      </w:r>
    </w:p>
    <w:p w14:paraId="091BD4E8">
      <w:pPr>
        <w:widowControl/>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注册咨询：18261002950； </w:t>
      </w:r>
    </w:p>
    <w:p w14:paraId="486356D3">
      <w:pPr>
        <w:widowControl/>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CA技术咨询电话：400-608-6099； </w:t>
      </w:r>
    </w:p>
    <w:p w14:paraId="7998B32A">
      <w:pPr>
        <w:widowControl/>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签章使用问题：025-83633811、025-83633812、15380932027、15371015030； </w:t>
      </w:r>
    </w:p>
    <w:p w14:paraId="1592F9B9">
      <w:pPr>
        <w:widowControl/>
        <w:spacing w:line="400" w:lineRule="exact"/>
        <w:ind w:firstLine="420" w:firstLineChars="20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系统使用指导与咨询：联系电话：18261002950；QQ：3048755361、1315179389、895706745。</w:t>
      </w:r>
    </w:p>
    <w:p w14:paraId="1CEEC4EE">
      <w:pPr>
        <w:widowControl/>
        <w:spacing w:line="360" w:lineRule="auto"/>
        <w:ind w:firstLine="420" w:firstLineChars="200"/>
        <w:jc w:val="left"/>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4.根据苏州市财政局《关于深入开展苏州市政府采购合同信用融资业务的通知》相关要求，本项目支持政府采购合同信用融资。</w:t>
      </w:r>
    </w:p>
    <w:p w14:paraId="2CF30E1D">
      <w:pPr>
        <w:pStyle w:val="6"/>
        <w:spacing w:line="360" w:lineRule="auto"/>
        <w:ind w:left="0"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四、响应文件提交</w:t>
      </w:r>
    </w:p>
    <w:p w14:paraId="47FD8237">
      <w:pPr>
        <w:pStyle w:val="6"/>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递交响应文件截止时间：</w:t>
      </w:r>
      <w:r>
        <w:rPr>
          <w:rFonts w:hint="eastAsia" w:ascii="宋体" w:hAnsi="宋体" w:eastAsia="宋体" w:cs="宋体"/>
          <w:color w:val="auto"/>
          <w:sz w:val="21"/>
          <w:szCs w:val="21"/>
          <w:highlight w:val="none"/>
          <w:u w:val="single"/>
          <w:lang w:eastAsia="zh-CN"/>
        </w:rPr>
        <w:t>2026年6月4日</w:t>
      </w:r>
      <w:r>
        <w:rPr>
          <w:rFonts w:hint="eastAsia" w:ascii="宋体" w:hAnsi="宋体" w:eastAsia="宋体" w:cs="宋体"/>
          <w:bCs/>
          <w:color w:val="auto"/>
          <w:sz w:val="21"/>
          <w:szCs w:val="21"/>
          <w:highlight w:val="none"/>
          <w:u w:val="single"/>
          <w:lang w:val="en-US" w:eastAsia="zh-CN"/>
        </w:rPr>
        <w:t>13:30</w:t>
      </w:r>
      <w:r>
        <w:rPr>
          <w:rFonts w:hint="eastAsia" w:ascii="宋体" w:hAnsi="宋体" w:eastAsia="宋体" w:cs="宋体"/>
          <w:bCs/>
          <w:color w:val="auto"/>
          <w:sz w:val="21"/>
          <w:szCs w:val="21"/>
          <w:highlight w:val="none"/>
          <w:u w:val="single"/>
        </w:rPr>
        <w:t>（北京时间）</w:t>
      </w:r>
      <w:r>
        <w:rPr>
          <w:rFonts w:hint="eastAsia" w:ascii="宋体" w:hAnsi="宋体" w:eastAsia="宋体" w:cs="宋体"/>
          <w:bCs/>
          <w:color w:val="auto"/>
          <w:sz w:val="21"/>
          <w:szCs w:val="21"/>
          <w:highlight w:val="none"/>
        </w:rPr>
        <w:t>；</w:t>
      </w:r>
    </w:p>
    <w:p w14:paraId="7CDC3BBD">
      <w:pPr>
        <w:pStyle w:val="6"/>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地点：</w:t>
      </w:r>
      <w:r>
        <w:rPr>
          <w:rFonts w:hint="eastAsia" w:ascii="宋体" w:hAnsi="宋体" w:eastAsia="宋体" w:cs="宋体"/>
          <w:b/>
          <w:bCs/>
          <w:color w:val="auto"/>
          <w:sz w:val="21"/>
          <w:szCs w:val="21"/>
          <w:highlight w:val="none"/>
        </w:rPr>
        <w:t>“苏采云”系统（网址：http://jszfcg.jsczt.cn/）</w:t>
      </w:r>
      <w:r>
        <w:rPr>
          <w:rFonts w:hint="eastAsia" w:ascii="宋体" w:hAnsi="宋体" w:eastAsia="宋体" w:cs="宋体"/>
          <w:bCs/>
          <w:color w:val="auto"/>
          <w:sz w:val="21"/>
          <w:szCs w:val="21"/>
          <w:highlight w:val="none"/>
        </w:rPr>
        <w:t>。响应文件网上递交，不需要现场参加采购活动，无需提供纸质响应文件。</w:t>
      </w:r>
    </w:p>
    <w:p w14:paraId="3E537B4B">
      <w:pPr>
        <w:pStyle w:val="6"/>
        <w:spacing w:line="360" w:lineRule="auto"/>
        <w:ind w:left="0" w:firstLine="420"/>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1"/>
          <w:szCs w:val="21"/>
          <w:highlight w:val="none"/>
        </w:rPr>
        <w:t>供应商应充分考虑到网络环境、网络带宽等风险因素，如因供应商自身原因造成的电子响应文件上传不成功由供应商自行承担全部责任。</w:t>
      </w:r>
    </w:p>
    <w:p w14:paraId="3AFCFDB9">
      <w:pPr>
        <w:pStyle w:val="6"/>
        <w:spacing w:line="360" w:lineRule="auto"/>
        <w:ind w:left="0"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五、开启</w:t>
      </w:r>
    </w:p>
    <w:p w14:paraId="34A6315E">
      <w:pPr>
        <w:pStyle w:val="6"/>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时间：</w:t>
      </w:r>
      <w:r>
        <w:rPr>
          <w:rFonts w:hint="eastAsia" w:ascii="宋体" w:hAnsi="宋体" w:eastAsia="宋体" w:cs="宋体"/>
          <w:color w:val="auto"/>
          <w:sz w:val="21"/>
          <w:szCs w:val="21"/>
          <w:highlight w:val="none"/>
          <w:u w:val="single"/>
          <w:lang w:eastAsia="zh-CN"/>
        </w:rPr>
        <w:t>2026年6月4日</w:t>
      </w:r>
      <w:r>
        <w:rPr>
          <w:rFonts w:hint="eastAsia" w:ascii="宋体" w:hAnsi="宋体" w:eastAsia="宋体" w:cs="宋体"/>
          <w:bCs/>
          <w:color w:val="auto"/>
          <w:sz w:val="21"/>
          <w:szCs w:val="21"/>
          <w:highlight w:val="none"/>
          <w:lang w:val="en-US" w:eastAsia="zh-CN"/>
        </w:rPr>
        <w:t>13:30</w:t>
      </w:r>
      <w:r>
        <w:rPr>
          <w:rFonts w:hint="eastAsia" w:ascii="宋体" w:hAnsi="宋体" w:eastAsia="宋体" w:cs="宋体"/>
          <w:bCs/>
          <w:color w:val="auto"/>
          <w:sz w:val="21"/>
          <w:szCs w:val="21"/>
          <w:highlight w:val="none"/>
        </w:rPr>
        <w:t>（北京时间）；</w:t>
      </w:r>
    </w:p>
    <w:p w14:paraId="1653D4A9">
      <w:pPr>
        <w:pStyle w:val="6"/>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地点：“苏采云”系统（网址：http://jszfcg.jsczt.cn/）</w:t>
      </w:r>
    </w:p>
    <w:p w14:paraId="4E17DCE7">
      <w:pPr>
        <w:pStyle w:val="6"/>
        <w:spacing w:line="360" w:lineRule="auto"/>
        <w:ind w:left="0" w:firstLine="420"/>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rPr>
        <w:t>本项目为不见面磋商项目，</w:t>
      </w:r>
      <w:r>
        <w:rPr>
          <w:rFonts w:hint="eastAsia" w:ascii="宋体" w:hAnsi="宋体" w:eastAsia="宋体" w:cs="宋体"/>
          <w:b/>
          <w:color w:val="auto"/>
          <w:sz w:val="21"/>
          <w:szCs w:val="21"/>
          <w:highlight w:val="none"/>
        </w:rPr>
        <w:t>开</w:t>
      </w:r>
      <w:r>
        <w:rPr>
          <w:rFonts w:hint="eastAsia" w:ascii="宋体" w:hAnsi="宋体" w:eastAsia="宋体" w:cs="宋体"/>
          <w:b/>
          <w:color w:val="auto"/>
          <w:szCs w:val="21"/>
          <w:highlight w:val="none"/>
        </w:rPr>
        <w:t>启</w:t>
      </w:r>
      <w:r>
        <w:rPr>
          <w:rFonts w:hint="eastAsia" w:ascii="宋体" w:hAnsi="宋体" w:eastAsia="宋体" w:cs="宋体"/>
          <w:b/>
          <w:color w:val="auto"/>
          <w:sz w:val="21"/>
          <w:szCs w:val="21"/>
          <w:highlight w:val="none"/>
        </w:rPr>
        <w:t>阶段供应商在【供应商解密】环节必须使用 CA证书解密电子</w:t>
      </w:r>
      <w:r>
        <w:rPr>
          <w:rFonts w:hint="eastAsia" w:ascii="宋体" w:hAnsi="宋体" w:eastAsia="宋体" w:cs="宋体"/>
          <w:b/>
          <w:color w:val="auto"/>
          <w:szCs w:val="21"/>
          <w:highlight w:val="none"/>
        </w:rPr>
        <w:t>响应</w:t>
      </w:r>
      <w:r>
        <w:rPr>
          <w:rFonts w:hint="eastAsia" w:ascii="宋体" w:hAnsi="宋体" w:eastAsia="宋体" w:cs="宋体"/>
          <w:b/>
          <w:color w:val="auto"/>
          <w:sz w:val="21"/>
          <w:szCs w:val="21"/>
          <w:highlight w:val="none"/>
        </w:rPr>
        <w:t>文件，如在系统规定的解密时间内未能完成解密的视为放弃参与本项目。</w:t>
      </w:r>
    </w:p>
    <w:p w14:paraId="2389F716">
      <w:pPr>
        <w:pStyle w:val="6"/>
        <w:spacing w:line="360" w:lineRule="auto"/>
        <w:ind w:left="0"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请供应商确保电脑、系统及其他设备（视频输入输出设备等）无误，且开启直至项目结束始终保持系统在线状态。</w:t>
      </w:r>
    </w:p>
    <w:p w14:paraId="46DF2337">
      <w:pPr>
        <w:tabs>
          <w:tab w:val="left" w:pos="540"/>
          <w:tab w:val="left" w:pos="993"/>
        </w:tabs>
        <w:overflowPunct w:val="0"/>
        <w:spacing w:line="440" w:lineRule="exact"/>
        <w:ind w:left="426"/>
        <w:jc w:val="left"/>
        <w:rPr>
          <w:rFonts w:hint="eastAsia" w:ascii="宋体" w:hAnsi="宋体" w:cs="宋体"/>
          <w:b/>
          <w:color w:val="auto"/>
          <w:kern w:val="0"/>
          <w:szCs w:val="21"/>
          <w:highlight w:val="none"/>
        </w:rPr>
      </w:pPr>
      <w:r>
        <w:rPr>
          <w:rFonts w:hint="eastAsia" w:ascii="宋体" w:hAnsi="宋体" w:cs="宋体"/>
          <w:b/>
          <w:bCs/>
          <w:color w:val="auto"/>
          <w:szCs w:val="21"/>
          <w:highlight w:val="none"/>
        </w:rPr>
        <w:t>六、</w:t>
      </w:r>
      <w:r>
        <w:rPr>
          <w:rFonts w:hint="eastAsia" w:ascii="宋体" w:hAnsi="宋体" w:cs="宋体"/>
          <w:b/>
          <w:color w:val="auto"/>
          <w:kern w:val="0"/>
          <w:szCs w:val="21"/>
          <w:highlight w:val="none"/>
          <w:lang w:val="zh-CN"/>
        </w:rPr>
        <w:t>成交服务费</w:t>
      </w:r>
    </w:p>
    <w:p w14:paraId="579CF844">
      <w:pPr>
        <w:adjustRightInd w:val="0"/>
        <w:snapToGrid w:val="0"/>
        <w:spacing w:line="440" w:lineRule="exact"/>
        <w:ind w:firstLine="420" w:firstLineChars="200"/>
        <w:rPr>
          <w:color w:val="auto"/>
          <w:szCs w:val="21"/>
          <w:highlight w:val="none"/>
          <w:lang w:val="zh-CN"/>
        </w:rPr>
      </w:pPr>
      <w:r>
        <w:rPr>
          <w:rFonts w:hint="eastAsia" w:ascii="宋体" w:hAnsi="宋体" w:cs="宋体"/>
          <w:color w:val="auto"/>
          <w:szCs w:val="21"/>
          <w:highlight w:val="none"/>
        </w:rPr>
        <w:t>1.</w:t>
      </w:r>
      <w:r>
        <w:rPr>
          <w:rFonts w:hint="eastAsia" w:ascii="宋体" w:hAnsi="宋体" w:cs="宋体"/>
          <w:color w:val="auto"/>
          <w:szCs w:val="21"/>
          <w:highlight w:val="none"/>
          <w:lang w:val="zh-CN"/>
        </w:rPr>
        <w:t>收费标准：按差额定率累进法计算收取，成交单位在领取成交通知书时向采购代理机构一次性付清。预算金额100万以下费率为预算金额的1.5%；预算金额100万（含）-500万费率为预算金额的1.1%；预算金额500万（含）-1000万费率为预算金额的0.8%</w:t>
      </w:r>
      <w:r>
        <w:rPr>
          <w:color w:val="auto"/>
          <w:szCs w:val="21"/>
          <w:highlight w:val="none"/>
          <w:lang w:val="zh-CN"/>
        </w:rPr>
        <w:t>。</w:t>
      </w:r>
    </w:p>
    <w:p w14:paraId="41723E9B">
      <w:pPr>
        <w:spacing w:line="440" w:lineRule="exact"/>
        <w:ind w:firstLine="422" w:firstLineChars="200"/>
        <w:rPr>
          <w:b/>
          <w:bCs/>
          <w:color w:val="auto"/>
          <w:szCs w:val="21"/>
          <w:highlight w:val="none"/>
        </w:rPr>
      </w:pPr>
      <w:r>
        <w:rPr>
          <w:b/>
          <w:bCs/>
          <w:color w:val="auto"/>
          <w:szCs w:val="21"/>
          <w:highlight w:val="none"/>
        </w:rPr>
        <w:t>七、公告期限</w:t>
      </w:r>
    </w:p>
    <w:p w14:paraId="5EF57FD0">
      <w:pPr>
        <w:spacing w:line="440" w:lineRule="exact"/>
        <w:ind w:firstLine="420" w:firstLineChars="200"/>
        <w:rPr>
          <w:color w:val="auto"/>
          <w:szCs w:val="21"/>
          <w:highlight w:val="none"/>
        </w:rPr>
      </w:pPr>
      <w:r>
        <w:rPr>
          <w:color w:val="auto"/>
          <w:szCs w:val="21"/>
          <w:highlight w:val="none"/>
        </w:rPr>
        <w:t>自本公告发布之日起</w:t>
      </w:r>
      <w:r>
        <w:rPr>
          <w:rFonts w:hint="eastAsia"/>
          <w:color w:val="auto"/>
          <w:szCs w:val="21"/>
          <w:highlight w:val="none"/>
          <w:lang w:val="en-US" w:eastAsia="zh-CN"/>
        </w:rPr>
        <w:t>3</w:t>
      </w:r>
      <w:r>
        <w:rPr>
          <w:color w:val="auto"/>
          <w:szCs w:val="21"/>
          <w:highlight w:val="none"/>
        </w:rPr>
        <w:t>个工作日。</w:t>
      </w:r>
    </w:p>
    <w:p w14:paraId="4ECA5DFE">
      <w:pPr>
        <w:pStyle w:val="39"/>
        <w:spacing w:line="440" w:lineRule="exact"/>
        <w:ind w:firstLine="422"/>
        <w:rPr>
          <w:rFonts w:hint="eastAsia" w:ascii="宋体" w:hAnsi="宋体" w:cs="宋体"/>
          <w:b/>
          <w:bCs/>
          <w:color w:val="auto"/>
          <w:sz w:val="21"/>
          <w:szCs w:val="21"/>
          <w:highlight w:val="none"/>
          <w:lang w:val="en-US"/>
        </w:rPr>
      </w:pPr>
      <w:bookmarkStart w:id="6" w:name="_Hlk60646248"/>
      <w:r>
        <w:rPr>
          <w:rFonts w:hint="eastAsia" w:ascii="宋体" w:hAnsi="宋体" w:cs="宋体"/>
          <w:b/>
          <w:bCs/>
          <w:color w:val="auto"/>
          <w:sz w:val="21"/>
          <w:szCs w:val="21"/>
          <w:highlight w:val="none"/>
          <w:lang w:val="en-US"/>
        </w:rPr>
        <w:t>八、其他补充事宜</w:t>
      </w:r>
    </w:p>
    <w:bookmarkEnd w:id="6"/>
    <w:p w14:paraId="68319C4F">
      <w:pPr>
        <w:spacing w:line="400" w:lineRule="exact"/>
        <w:ind w:firstLine="420" w:firstLineChars="200"/>
        <w:rPr>
          <w:rFonts w:hint="eastAsia" w:ascii="宋体" w:hAnsi="宋体" w:eastAsia="宋体" w:cs="宋体"/>
          <w:bCs/>
          <w:color w:val="auto"/>
          <w:szCs w:val="21"/>
          <w:highlight w:val="none"/>
          <w:lang w:val="en-US" w:eastAsia="zh-CN"/>
        </w:rPr>
      </w:pPr>
      <w:bookmarkStart w:id="7" w:name="_Toc60314542"/>
      <w:bookmarkStart w:id="8" w:name="_Hlk60646981"/>
      <w:r>
        <w:rPr>
          <w:rFonts w:hint="eastAsia" w:ascii="宋体" w:hAnsi="宋体" w:eastAsia="宋体" w:cs="宋体"/>
          <w:bCs/>
          <w:color w:val="auto"/>
          <w:szCs w:val="21"/>
          <w:highlight w:val="none"/>
          <w:lang w:val="en-US" w:eastAsia="zh-CN"/>
        </w:rPr>
        <w:t>1.本项目获取采购文件截止日期之后仍可以下载采购文件，但截止日期之后下载的采购文件，视为非有效方式且不作为供应商权益受到损害的证明材料和依据。</w:t>
      </w:r>
    </w:p>
    <w:p w14:paraId="0695F324">
      <w:pPr>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.本采购信息公告媒体苏州市政府采购网、江苏政府采购网</w:t>
      </w:r>
      <w:r>
        <w:rPr>
          <w:rFonts w:hint="eastAsia" w:ascii="宋体" w:hAnsi="宋体" w:cs="宋体"/>
          <w:bCs/>
          <w:color w:val="auto"/>
          <w:szCs w:val="21"/>
          <w:highlight w:val="none"/>
          <w:lang w:eastAsia="zh-CN"/>
        </w:rPr>
        <w:t>、</w:t>
      </w:r>
      <w:r>
        <w:rPr>
          <w:rFonts w:hint="eastAsia" w:ascii="宋体" w:hAnsi="宋体" w:cs="宋体"/>
          <w:color w:val="auto"/>
          <w:szCs w:val="21"/>
          <w:highlight w:val="none"/>
          <w:lang w:val="en-US" w:eastAsia="zh-CN"/>
        </w:rPr>
        <w:t>中国政府采购网</w:t>
      </w:r>
      <w:r>
        <w:rPr>
          <w:rFonts w:hint="eastAsia" w:ascii="宋体" w:hAnsi="宋体" w:cs="宋体"/>
          <w:bCs/>
          <w:color w:val="auto"/>
          <w:szCs w:val="21"/>
          <w:highlight w:val="none"/>
        </w:rPr>
        <w:t>。</w:t>
      </w:r>
    </w:p>
    <w:p w14:paraId="53020D2C">
      <w:pPr>
        <w:spacing w:line="400" w:lineRule="exact"/>
        <w:ind w:firstLine="420" w:firstLineChars="200"/>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rPr>
        <w:t>.本项目由</w:t>
      </w:r>
      <w:r>
        <w:rPr>
          <w:rFonts w:hint="eastAsia" w:ascii="宋体" w:hAnsi="宋体" w:cs="宋体"/>
          <w:bCs/>
          <w:color w:val="auto"/>
          <w:szCs w:val="21"/>
          <w:highlight w:val="none"/>
          <w:u w:val="single"/>
        </w:rPr>
        <w:t xml:space="preserve"> 苏州鼎力招投标咨询服务有限公司</w:t>
      </w:r>
      <w:r>
        <w:rPr>
          <w:rFonts w:hint="eastAsia" w:ascii="宋体" w:hAnsi="宋体" w:cs="宋体"/>
          <w:bCs/>
          <w:color w:val="auto"/>
          <w:szCs w:val="21"/>
          <w:highlight w:val="none"/>
        </w:rPr>
        <w:t>代理</w:t>
      </w:r>
      <w:r>
        <w:rPr>
          <w:rFonts w:hint="eastAsia" w:ascii="宋体" w:hAnsi="宋体" w:cs="宋体"/>
          <w:bCs/>
          <w:color w:val="auto"/>
          <w:szCs w:val="21"/>
          <w:highlight w:val="none"/>
          <w:lang w:eastAsia="zh-CN"/>
        </w:rPr>
        <w:t>。</w:t>
      </w:r>
    </w:p>
    <w:p w14:paraId="63C37A5C">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rPr>
        <w:t>.质疑联系方式：</w:t>
      </w:r>
    </w:p>
    <w:p w14:paraId="3591CEA2">
      <w:pPr>
        <w:spacing w:line="440" w:lineRule="exact"/>
        <w:ind w:left="372" w:leftChars="177" w:firstLine="424" w:firstLineChars="202"/>
        <w:rPr>
          <w:rFonts w:ascii="宋体" w:hAnsi="宋体" w:cs="宋体"/>
          <w:color w:val="auto"/>
          <w:szCs w:val="21"/>
          <w:highlight w:val="none"/>
        </w:rPr>
      </w:pPr>
      <w:r>
        <w:rPr>
          <w:rFonts w:hint="eastAsia" w:ascii="宋体" w:hAnsi="宋体" w:cs="宋体"/>
          <w:color w:val="auto"/>
          <w:szCs w:val="21"/>
          <w:highlight w:val="none"/>
        </w:rPr>
        <w:t>质疑按《中华人民共和国财政部令第94号--政府采购质疑和投诉办法》中相关规定提出，供应商应在法定质疑期内一次性提出针对同一采购程序环节的质疑，质疑函（必须附</w:t>
      </w:r>
      <w:r>
        <w:rPr>
          <w:rFonts w:hint="eastAsia" w:ascii="Times New Roman" w:hAnsi="Times New Roman" w:eastAsia="宋体" w:cs="Times New Roman"/>
          <w:color w:val="auto"/>
          <w:szCs w:val="21"/>
          <w:highlight w:val="none"/>
          <w:lang w:val="en-US" w:eastAsia="zh-CN"/>
        </w:rPr>
        <w:t>投标供应商确认函</w:t>
      </w:r>
      <w:r>
        <w:rPr>
          <w:rFonts w:hint="eastAsia" w:ascii="宋体" w:hAnsi="宋体" w:cs="宋体"/>
          <w:color w:val="auto"/>
          <w:szCs w:val="21"/>
          <w:highlight w:val="none"/>
        </w:rPr>
        <w:t>）现场提交或邮寄至本公司。供应商打印、保留“</w:t>
      </w:r>
      <w:r>
        <w:rPr>
          <w:rFonts w:hint="eastAsia" w:ascii="Times New Roman" w:hAnsi="Times New Roman" w:eastAsia="宋体" w:cs="Times New Roman"/>
          <w:color w:val="auto"/>
          <w:szCs w:val="21"/>
          <w:highlight w:val="none"/>
          <w:lang w:val="en-US" w:eastAsia="zh-CN"/>
        </w:rPr>
        <w:t>投标供应商确认函</w:t>
      </w:r>
      <w:r>
        <w:rPr>
          <w:rFonts w:hint="eastAsia" w:ascii="宋体" w:hAnsi="宋体" w:cs="宋体"/>
          <w:color w:val="auto"/>
          <w:szCs w:val="21"/>
          <w:highlight w:val="none"/>
        </w:rPr>
        <w:t>”质疑时与质疑函一并提交。</w:t>
      </w:r>
    </w:p>
    <w:p w14:paraId="0F34D21E">
      <w:pPr>
        <w:spacing w:line="440" w:lineRule="exact"/>
        <w:ind w:left="372" w:leftChars="177" w:firstLine="1"/>
        <w:rPr>
          <w:rFonts w:ascii="宋体" w:hAnsi="宋体" w:cs="宋体"/>
          <w:color w:val="auto"/>
          <w:szCs w:val="21"/>
          <w:highlight w:val="none"/>
        </w:rPr>
      </w:pPr>
      <w:r>
        <w:rPr>
          <w:rFonts w:hint="eastAsia" w:ascii="宋体" w:hAnsi="宋体" w:cs="宋体"/>
          <w:color w:val="auto"/>
          <w:szCs w:val="21"/>
          <w:highlight w:val="none"/>
        </w:rPr>
        <w:t>地  址：松陵镇吴江经济技术开发区二二七省道西、学院路南侧二楼北侧</w:t>
      </w:r>
    </w:p>
    <w:p w14:paraId="43619ABA">
      <w:pPr>
        <w:spacing w:line="440" w:lineRule="exact"/>
        <w:ind w:left="372" w:leftChars="177" w:firstLine="1"/>
        <w:rPr>
          <w:rFonts w:hint="eastAsia" w:ascii="宋体" w:hAnsi="宋体" w:cs="宋体"/>
          <w:bCs/>
          <w:color w:val="auto"/>
          <w:szCs w:val="21"/>
          <w:highlight w:val="none"/>
        </w:rPr>
      </w:pPr>
      <w:r>
        <w:rPr>
          <w:rFonts w:hint="eastAsia" w:ascii="宋体" w:hAnsi="宋体" w:cs="宋体"/>
          <w:b/>
          <w:bCs/>
          <w:color w:val="auto"/>
          <w:szCs w:val="21"/>
          <w:highlight w:val="none"/>
        </w:rPr>
        <w:t>联系人：</w:t>
      </w:r>
      <w:r>
        <w:rPr>
          <w:rFonts w:hint="eastAsia" w:ascii="宋体" w:hAnsi="宋体" w:cs="宋体"/>
          <w:b w:val="0"/>
          <w:bCs w:val="0"/>
          <w:color w:val="auto"/>
          <w:szCs w:val="21"/>
          <w:highlight w:val="none"/>
          <w:lang w:val="en-US" w:eastAsia="zh-CN"/>
        </w:rPr>
        <w:t xml:space="preserve">王晓品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联系电话：0512-63092</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99</w:t>
      </w:r>
    </w:p>
    <w:p w14:paraId="066EB6FB">
      <w:pPr>
        <w:pStyle w:val="89"/>
        <w:spacing w:line="440" w:lineRule="exact"/>
        <w:ind w:firstLine="422" w:firstLineChars="200"/>
        <w:rPr>
          <w:rStyle w:val="55"/>
          <w:rFonts w:hint="eastAsia" w:ascii="宋体" w:hAnsi="宋体" w:cs="宋体"/>
          <w:b/>
          <w:bCs/>
          <w:color w:val="auto"/>
          <w:sz w:val="21"/>
          <w:szCs w:val="21"/>
          <w:highlight w:val="none"/>
        </w:rPr>
      </w:pPr>
      <w:r>
        <w:rPr>
          <w:rStyle w:val="55"/>
          <w:rFonts w:hint="eastAsia" w:ascii="宋体" w:hAnsi="宋体" w:cs="宋体"/>
          <w:b/>
          <w:bCs/>
          <w:color w:val="auto"/>
          <w:sz w:val="21"/>
          <w:szCs w:val="21"/>
          <w:highlight w:val="none"/>
        </w:rPr>
        <w:t>九、对本次采购提出询问，请按以下方式联系。</w:t>
      </w:r>
      <w:bookmarkEnd w:id="7"/>
    </w:p>
    <w:p w14:paraId="61EB9CBE">
      <w:pPr>
        <w:pStyle w:val="39"/>
        <w:spacing w:line="440" w:lineRule="exact"/>
        <w:ind w:firstLine="420"/>
        <w:rPr>
          <w:rFonts w:hint="eastAsia" w:ascii="宋体" w:hAnsi="宋体" w:cs="宋体"/>
          <w:color w:val="auto"/>
          <w:sz w:val="21"/>
          <w:szCs w:val="21"/>
          <w:highlight w:val="none"/>
          <w:lang w:val="en-US"/>
        </w:rPr>
      </w:pPr>
      <w:bookmarkStart w:id="9" w:name="_Hlk60214877"/>
      <w:r>
        <w:rPr>
          <w:rFonts w:hint="eastAsia" w:ascii="宋体" w:hAnsi="宋体" w:cs="宋体"/>
          <w:color w:val="auto"/>
          <w:sz w:val="21"/>
          <w:szCs w:val="21"/>
          <w:highlight w:val="none"/>
          <w:lang w:val="en-US"/>
        </w:rPr>
        <w:t>1.釆购人信息</w:t>
      </w:r>
    </w:p>
    <w:p w14:paraId="06A38E61">
      <w:pPr>
        <w:pStyle w:val="39"/>
        <w:spacing w:line="440" w:lineRule="exact"/>
        <w:ind w:firstLine="42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名称：</w:t>
      </w:r>
      <w:r>
        <w:rPr>
          <w:rFonts w:hint="eastAsia" w:ascii="宋体" w:hAnsi="宋体" w:cs="宋体"/>
          <w:color w:val="auto"/>
          <w:sz w:val="21"/>
          <w:szCs w:val="21"/>
          <w:highlight w:val="none"/>
          <w:lang w:val="en-US" w:eastAsia="zh-CN"/>
        </w:rPr>
        <w:t>江苏盛泽医院</w:t>
      </w:r>
      <w:r>
        <w:rPr>
          <w:rFonts w:hint="eastAsia" w:ascii="宋体" w:hAnsi="宋体" w:cs="宋体"/>
          <w:color w:val="auto"/>
          <w:sz w:val="21"/>
          <w:szCs w:val="21"/>
          <w:highlight w:val="none"/>
          <w:lang w:val="en-US"/>
        </w:rPr>
        <w:t xml:space="preserve"> </w:t>
      </w:r>
      <w:r>
        <w:rPr>
          <w:rFonts w:hint="eastAsia" w:ascii="宋体" w:hAnsi="宋体" w:cs="宋体"/>
          <w:color w:val="auto"/>
          <w:sz w:val="21"/>
          <w:szCs w:val="21"/>
          <w:highlight w:val="none"/>
          <w:lang w:val="en-US" w:eastAsia="zh-CN"/>
        </w:rPr>
        <w:t xml:space="preserve">       </w:t>
      </w:r>
    </w:p>
    <w:p w14:paraId="17BD130D">
      <w:pPr>
        <w:pStyle w:val="39"/>
        <w:spacing w:line="440" w:lineRule="exact"/>
        <w:ind w:firstLine="420"/>
        <w:rPr>
          <w:color w:val="auto"/>
          <w:sz w:val="21"/>
          <w:szCs w:val="21"/>
          <w:highlight w:val="none"/>
          <w:lang w:val="en-US"/>
        </w:rPr>
      </w:pPr>
      <w:r>
        <w:rPr>
          <w:rFonts w:hint="eastAsia"/>
          <w:color w:val="auto"/>
          <w:sz w:val="21"/>
          <w:szCs w:val="21"/>
          <w:highlight w:val="none"/>
          <w:lang w:val="en-US"/>
        </w:rPr>
        <w:t xml:space="preserve">联系人：李腾云   </w:t>
      </w:r>
    </w:p>
    <w:p w14:paraId="4B90A074">
      <w:pPr>
        <w:pStyle w:val="39"/>
        <w:spacing w:line="440" w:lineRule="exact"/>
        <w:ind w:firstLine="420"/>
        <w:rPr>
          <w:color w:val="auto"/>
          <w:sz w:val="21"/>
          <w:szCs w:val="21"/>
          <w:highlight w:val="none"/>
          <w:lang w:val="en-US"/>
        </w:rPr>
      </w:pPr>
      <w:r>
        <w:rPr>
          <w:rFonts w:hint="eastAsia"/>
          <w:color w:val="auto"/>
          <w:sz w:val="21"/>
          <w:szCs w:val="21"/>
          <w:highlight w:val="none"/>
          <w:lang w:val="en-US"/>
        </w:rPr>
        <w:t xml:space="preserve">联系电话：0512-63097078    </w:t>
      </w:r>
    </w:p>
    <w:p w14:paraId="06686DF7">
      <w:pPr>
        <w:pStyle w:val="39"/>
        <w:spacing w:line="440" w:lineRule="exact"/>
        <w:ind w:firstLine="420"/>
        <w:rPr>
          <w:color w:val="auto"/>
          <w:sz w:val="21"/>
          <w:szCs w:val="21"/>
          <w:highlight w:val="none"/>
          <w:lang w:val="en-US"/>
        </w:rPr>
      </w:pPr>
      <w:r>
        <w:rPr>
          <w:rFonts w:hint="eastAsia"/>
          <w:color w:val="auto"/>
          <w:sz w:val="21"/>
          <w:szCs w:val="21"/>
          <w:highlight w:val="none"/>
          <w:lang w:val="en-US"/>
        </w:rPr>
        <w:t>苏州市吴江区盛泽镇市场西路1399号</w:t>
      </w:r>
    </w:p>
    <w:p w14:paraId="4776FAE0">
      <w:pPr>
        <w:pStyle w:val="39"/>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2.政府釆购代理机构信息</w:t>
      </w:r>
    </w:p>
    <w:p w14:paraId="35A9E9C9">
      <w:pPr>
        <w:pStyle w:val="39"/>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名称：苏州鼎力招投标咨询服务有限公司</w:t>
      </w:r>
    </w:p>
    <w:p w14:paraId="59FF7E4B">
      <w:pPr>
        <w:pStyle w:val="39"/>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地址：苏州市吴江区江陵街道吴江汽车客运站北侧二楼（吴江经济技术开发区二二七省道西、学院路南侧）</w:t>
      </w:r>
    </w:p>
    <w:p w14:paraId="571FC5A0">
      <w:pPr>
        <w:pStyle w:val="39"/>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联系方式：0512-63092</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lang w:val="en-US"/>
        </w:rPr>
        <w:t>99</w:t>
      </w:r>
    </w:p>
    <w:bookmarkEnd w:id="8"/>
    <w:bookmarkEnd w:id="9"/>
    <w:p w14:paraId="2624F1F2">
      <w:pPr>
        <w:pStyle w:val="39"/>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3.项目联系方式</w:t>
      </w:r>
    </w:p>
    <w:p w14:paraId="285ADEFE">
      <w:pPr>
        <w:pStyle w:val="39"/>
        <w:spacing w:line="440" w:lineRule="exact"/>
        <w:ind w:firstLine="42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项目联系人：</w:t>
      </w:r>
      <w:r>
        <w:rPr>
          <w:rFonts w:hint="eastAsia" w:ascii="宋体" w:hAnsi="宋体" w:cs="宋体"/>
          <w:color w:val="auto"/>
          <w:sz w:val="21"/>
          <w:szCs w:val="21"/>
          <w:highlight w:val="none"/>
          <w:lang w:val="en-US" w:eastAsia="zh-CN"/>
        </w:rPr>
        <w:t xml:space="preserve"> 王晓品</w:t>
      </w:r>
    </w:p>
    <w:p w14:paraId="1E5BE2B3">
      <w:pPr>
        <w:pStyle w:val="39"/>
        <w:spacing w:line="440" w:lineRule="exact"/>
        <w:ind w:firstLine="42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联系电话：0512-63092</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lang w:val="en-US"/>
        </w:rPr>
        <w:t>99</w:t>
      </w:r>
      <w:r>
        <w:rPr>
          <w:rFonts w:hint="eastAsia"/>
          <w:color w:val="auto"/>
          <w:sz w:val="21"/>
          <w:szCs w:val="21"/>
          <w:highlight w:val="none"/>
          <w:lang w:val="en-US" w:eastAsia="zh-CN"/>
        </w:rPr>
        <w:t xml:space="preserve"> </w:t>
      </w:r>
    </w:p>
    <w:p w14:paraId="41986F9F">
      <w:pPr>
        <w:pStyle w:val="39"/>
        <w:spacing w:line="400" w:lineRule="exact"/>
        <w:ind w:firstLine="0" w:firstLineChars="0"/>
        <w:rPr>
          <w:color w:val="auto"/>
          <w:sz w:val="21"/>
          <w:szCs w:val="21"/>
          <w:highlight w:val="none"/>
          <w:lang w:val="en-US"/>
        </w:rPr>
      </w:pPr>
    </w:p>
    <w:p w14:paraId="2AB118D0">
      <w:pPr>
        <w:adjustRightInd w:val="0"/>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备注：本次采购的有关信息将</w:t>
      </w:r>
      <w:r>
        <w:rPr>
          <w:rFonts w:hint="eastAsia" w:ascii="宋体" w:hAnsi="宋体" w:cs="宋体"/>
          <w:color w:val="auto"/>
          <w:szCs w:val="21"/>
          <w:highlight w:val="none"/>
          <w:lang w:val="en-US" w:eastAsia="zh-CN"/>
        </w:rPr>
        <w:t>在</w:t>
      </w:r>
      <w:r>
        <w:rPr>
          <w:rFonts w:hint="eastAsia" w:ascii="宋体" w:hAnsi="宋体" w:cs="宋体"/>
          <w:color w:val="auto"/>
          <w:szCs w:val="21"/>
          <w:highlight w:val="none"/>
        </w:rPr>
        <w:t>江苏省政府采购网、苏州政府采购网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中国政府采购网</w:t>
      </w:r>
      <w:r>
        <w:rPr>
          <w:rFonts w:hint="eastAsia" w:ascii="宋体" w:hAnsi="宋体" w:cs="宋体"/>
          <w:color w:val="auto"/>
          <w:szCs w:val="21"/>
          <w:highlight w:val="none"/>
        </w:rPr>
        <w:t>等媒体上发布，敬请留意，请各单位获取本次磋商采购文件后，认真阅读各项内容，进行必要准备工作，按文件的要求详细填写和编制响应文件，并按以上确定的时间、地点准时参加磋商。</w:t>
      </w:r>
    </w:p>
    <w:p w14:paraId="78B08F42">
      <w:pPr>
        <w:pStyle w:val="23"/>
        <w:spacing w:after="312" w:afterLines="100"/>
        <w:outlineLvl w:val="0"/>
        <w:rPr>
          <w:rFonts w:ascii="Times New Roman" w:hAnsi="Times New Roman"/>
          <w:color w:val="auto"/>
          <w:sz w:val="44"/>
          <w:szCs w:val="44"/>
          <w:highlight w:val="none"/>
        </w:rPr>
      </w:pPr>
      <w:bookmarkStart w:id="10" w:name="_Toc61514582"/>
      <w:bookmarkStart w:id="11" w:name="_Toc609"/>
      <w:r>
        <w:rPr>
          <w:rFonts w:ascii="Times New Roman" w:hAnsi="Times New Roman"/>
          <w:color w:val="auto"/>
          <w:sz w:val="44"/>
          <w:szCs w:val="44"/>
          <w:highlight w:val="none"/>
        </w:rPr>
        <w:br w:type="page"/>
      </w:r>
      <w:bookmarkEnd w:id="10"/>
      <w:bookmarkEnd w:id="11"/>
      <w:bookmarkStart w:id="12" w:name="_Toc24451"/>
      <w:bookmarkStart w:id="13" w:name="_Toc61514583"/>
      <w:bookmarkStart w:id="14" w:name="_Toc16385"/>
      <w:bookmarkStart w:id="15" w:name="_Toc18252"/>
      <w:bookmarkStart w:id="16" w:name="_Toc19605"/>
      <w:r>
        <w:rPr>
          <w:rFonts w:ascii="Times New Roman" w:hAnsi="Times New Roman"/>
          <w:color w:val="auto"/>
          <w:sz w:val="44"/>
          <w:szCs w:val="44"/>
          <w:highlight w:val="none"/>
        </w:rPr>
        <w:t>第二章 磋商供应商须知</w:t>
      </w:r>
      <w:bookmarkEnd w:id="12"/>
    </w:p>
    <w:p w14:paraId="5361CCC9">
      <w:pPr>
        <w:pStyle w:val="39"/>
        <w:spacing w:line="400" w:lineRule="exact"/>
        <w:ind w:firstLine="422"/>
        <w:rPr>
          <w:rFonts w:hint="eastAsia" w:ascii="宋体" w:hAnsi="宋体"/>
          <w:b/>
          <w:bCs/>
          <w:color w:val="auto"/>
          <w:sz w:val="21"/>
          <w:szCs w:val="21"/>
          <w:highlight w:val="none"/>
          <w:lang w:val="en-US"/>
        </w:rPr>
      </w:pPr>
      <w:r>
        <w:rPr>
          <w:rFonts w:hint="eastAsia" w:ascii="宋体" w:hAnsi="宋体"/>
          <w:b/>
          <w:bCs/>
          <w:color w:val="auto"/>
          <w:sz w:val="21"/>
          <w:szCs w:val="21"/>
          <w:highlight w:val="none"/>
          <w:lang w:val="en-US"/>
        </w:rPr>
        <w:t>1.采购政策</w:t>
      </w:r>
    </w:p>
    <w:p w14:paraId="71865047">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32355823">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79F2FA65">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4FFF6BF9">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p>
    <w:p w14:paraId="171B1ED9">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w:t>
      </w:r>
      <w:r>
        <w:rPr>
          <w:rFonts w:ascii="宋体" w:hAnsi="宋体"/>
          <w:color w:val="auto"/>
          <w:sz w:val="21"/>
          <w:szCs w:val="21"/>
          <w:highlight w:val="none"/>
          <w:lang w:val="en-US"/>
        </w:rPr>
        <w:t>5</w:t>
      </w:r>
      <w:r>
        <w:rPr>
          <w:rFonts w:hint="eastAsia" w:ascii="宋体" w:hAnsi="宋体"/>
          <w:color w:val="auto"/>
          <w:sz w:val="21"/>
          <w:szCs w:val="21"/>
          <w:highlight w:val="none"/>
          <w:lang w:val="en-US"/>
        </w:rPr>
        <w:t>提供的产品属于政府强制采购节能产品的，供应商应当选择经过认证的节能产品投标，并提供有效的节能产品认证证书复印件。</w:t>
      </w:r>
    </w:p>
    <w:p w14:paraId="58AFB463">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1.</w:t>
      </w:r>
      <w:r>
        <w:rPr>
          <w:rFonts w:ascii="宋体" w:hAnsi="宋体"/>
          <w:color w:val="auto"/>
          <w:sz w:val="21"/>
          <w:szCs w:val="21"/>
          <w:highlight w:val="none"/>
          <w:lang w:val="en-US"/>
        </w:rPr>
        <w:t>6</w:t>
      </w:r>
      <w:r>
        <w:rPr>
          <w:rFonts w:hint="eastAsia" w:ascii="宋体" w:hAnsi="宋体"/>
          <w:color w:val="auto"/>
          <w:sz w:val="21"/>
          <w:szCs w:val="21"/>
          <w:highlight w:val="none"/>
          <w:lang w:val="en-US"/>
        </w:rPr>
        <w:t>提供的产品属于环境标志产品的,供应商应当选择经过认证的环境标志产品投标,并提供有效的环境标志产品认证证书复印件。</w:t>
      </w:r>
    </w:p>
    <w:p w14:paraId="6958B3E9">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w:t>
      </w:r>
      <w:r>
        <w:rPr>
          <w:rFonts w:ascii="宋体" w:hAnsi="宋体"/>
          <w:color w:val="auto"/>
          <w:sz w:val="21"/>
          <w:szCs w:val="21"/>
          <w:highlight w:val="none"/>
          <w:lang w:val="en-US"/>
        </w:rPr>
        <w:t>.7</w:t>
      </w:r>
      <w:r>
        <w:rPr>
          <w:rFonts w:hint="eastAsia" w:ascii="宋体" w:hAnsi="宋体"/>
          <w:color w:val="auto"/>
          <w:sz w:val="21"/>
          <w:szCs w:val="21"/>
          <w:highlight w:val="none"/>
        </w:rPr>
        <w:t>如采购货物涉及协议供货相关产品的，执行协议供货相关政策。</w:t>
      </w:r>
    </w:p>
    <w:p w14:paraId="790D146E">
      <w:pPr>
        <w:spacing w:line="400" w:lineRule="exact"/>
        <w:ind w:firstLine="422" w:firstLineChars="200"/>
        <w:rPr>
          <w:rFonts w:hint="eastAsia" w:ascii="宋体" w:hAnsi="宋体"/>
          <w:b/>
          <w:color w:val="auto"/>
          <w:szCs w:val="21"/>
          <w:highlight w:val="none"/>
        </w:rPr>
      </w:pPr>
    </w:p>
    <w:p w14:paraId="163D6712">
      <w:pPr>
        <w:spacing w:line="400" w:lineRule="exact"/>
        <w:ind w:firstLine="422" w:firstLineChars="200"/>
        <w:rPr>
          <w:rFonts w:ascii="宋体" w:hAnsi="宋体"/>
          <w:bCs/>
          <w:color w:val="auto"/>
          <w:szCs w:val="21"/>
          <w:highlight w:val="none"/>
        </w:rPr>
      </w:pPr>
      <w:r>
        <w:rPr>
          <w:rFonts w:hint="eastAsia" w:ascii="宋体" w:hAnsi="宋体"/>
          <w:b/>
          <w:color w:val="auto"/>
          <w:szCs w:val="21"/>
          <w:highlight w:val="none"/>
        </w:rPr>
        <w:t>2.★联合体响应：</w:t>
      </w:r>
      <w:r>
        <w:rPr>
          <w:rFonts w:hint="eastAsia" w:ascii="宋体" w:hAnsi="宋体"/>
          <w:bCs/>
          <w:color w:val="auto"/>
          <w:szCs w:val="21"/>
          <w:highlight w:val="none"/>
        </w:rPr>
        <w:t>不接受。</w:t>
      </w:r>
    </w:p>
    <w:p w14:paraId="5F4FA468">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2.1</w:t>
      </w:r>
      <w:r>
        <w:rPr>
          <w:rFonts w:ascii="宋体" w:hAnsi="宋体"/>
          <w:color w:val="auto"/>
          <w:sz w:val="21"/>
          <w:szCs w:val="21"/>
          <w:highlight w:val="none"/>
          <w:lang w:val="en-US"/>
        </w:rPr>
        <w:t>.</w:t>
      </w:r>
      <w:r>
        <w:rPr>
          <w:rFonts w:hint="eastAsia" w:ascii="宋体" w:hAnsi="宋体"/>
          <w:color w:val="auto"/>
          <w:sz w:val="21"/>
          <w:szCs w:val="21"/>
          <w:highlight w:val="none"/>
          <w:lang w:val="en-US"/>
        </w:rPr>
        <w:t>两个以上的自然人、法人或者其他组织可以组成一个联合体，以一个供应商的身份共同参加政府采购。</w:t>
      </w:r>
    </w:p>
    <w:p w14:paraId="50C52C51">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2.2</w:t>
      </w:r>
      <w:r>
        <w:rPr>
          <w:rFonts w:ascii="宋体" w:hAnsi="宋体"/>
          <w:color w:val="auto"/>
          <w:sz w:val="21"/>
          <w:szCs w:val="21"/>
          <w:highlight w:val="none"/>
          <w:lang w:val="en-US"/>
        </w:rPr>
        <w:t>.</w:t>
      </w:r>
      <w:r>
        <w:rPr>
          <w:rFonts w:hint="eastAsia" w:ascii="宋体" w:hAnsi="宋体"/>
          <w:color w:val="auto"/>
          <w:sz w:val="21"/>
          <w:szCs w:val="21"/>
          <w:highlight w:val="none"/>
          <w:lang w:val="en-US"/>
        </w:rPr>
        <w:t>鼓励大中型企业和其他自然人、法人或者其他组织与小型、微型企业组成联合体共同参加非专门面向中小企业的政府采购活动。</w:t>
      </w:r>
    </w:p>
    <w:p w14:paraId="3E601BFE">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lang w:val="en-US"/>
        </w:rPr>
        <w:t>.以联合体形式参加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433D8D45">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2.4</w:t>
      </w:r>
      <w:r>
        <w:rPr>
          <w:rFonts w:ascii="宋体" w:hAnsi="宋体"/>
          <w:color w:val="auto"/>
          <w:sz w:val="21"/>
          <w:szCs w:val="21"/>
          <w:highlight w:val="none"/>
          <w:lang w:val="en-US"/>
        </w:rPr>
        <w:t>.</w:t>
      </w:r>
      <w:r>
        <w:rPr>
          <w:rFonts w:hint="eastAsia" w:ascii="宋体" w:hAnsi="宋体"/>
          <w:color w:val="auto"/>
          <w:sz w:val="21"/>
          <w:szCs w:val="21"/>
          <w:highlight w:val="none"/>
          <w:lang w:val="en-US"/>
        </w:rPr>
        <w:t xml:space="preserve"> 联合体各方之间应当签订联合体协议，明确约定联合体各方承担的工作和相应的责任，并将联合体协议连同响应文件一并提交。</w:t>
      </w:r>
    </w:p>
    <w:p w14:paraId="7AC2D530">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2.5</w:t>
      </w:r>
      <w:r>
        <w:rPr>
          <w:rFonts w:ascii="宋体" w:hAnsi="宋体"/>
          <w:color w:val="auto"/>
          <w:sz w:val="21"/>
          <w:szCs w:val="21"/>
          <w:highlight w:val="none"/>
          <w:lang w:val="en-US"/>
        </w:rPr>
        <w:t>.</w:t>
      </w:r>
      <w:r>
        <w:rPr>
          <w:rFonts w:hint="eastAsia" w:ascii="宋体" w:hAnsi="宋体"/>
          <w:color w:val="auto"/>
          <w:sz w:val="21"/>
          <w:szCs w:val="21"/>
          <w:highlight w:val="none"/>
          <w:lang w:val="en-US"/>
        </w:rPr>
        <w:t xml:space="preserve"> 以联合体形式参加政府采购活动的，联合体各方不得再单独参加或者与其他供应商另外组成联合体参加同一合同项下的政府采购活动。</w:t>
      </w:r>
    </w:p>
    <w:p w14:paraId="10DC04F5">
      <w:pPr>
        <w:spacing w:line="400" w:lineRule="exact"/>
        <w:ind w:firstLine="422" w:firstLineChars="200"/>
        <w:rPr>
          <w:rFonts w:hint="eastAsia" w:ascii="宋体" w:hAnsi="宋体"/>
          <w:b/>
          <w:bCs/>
          <w:color w:val="auto"/>
          <w:szCs w:val="21"/>
          <w:highlight w:val="none"/>
        </w:rPr>
      </w:pPr>
    </w:p>
    <w:p w14:paraId="7E82C0E1">
      <w:pPr>
        <w:spacing w:line="400" w:lineRule="exact"/>
        <w:ind w:firstLine="422" w:firstLineChars="200"/>
        <w:rPr>
          <w:rFonts w:ascii="宋体" w:hAnsi="宋体"/>
          <w:bCs/>
          <w:color w:val="auto"/>
          <w:szCs w:val="21"/>
          <w:highlight w:val="none"/>
        </w:rPr>
      </w:pPr>
      <w:r>
        <w:rPr>
          <w:rFonts w:hint="eastAsia" w:ascii="宋体" w:hAnsi="宋体"/>
          <w:b/>
          <w:bCs/>
          <w:color w:val="auto"/>
          <w:szCs w:val="21"/>
          <w:highlight w:val="none"/>
        </w:rPr>
        <w:t>3</w:t>
      </w:r>
      <w:r>
        <w:rPr>
          <w:rFonts w:ascii="宋体" w:hAnsi="宋体"/>
          <w:b/>
          <w:bCs/>
          <w:color w:val="auto"/>
          <w:szCs w:val="21"/>
          <w:highlight w:val="none"/>
        </w:rPr>
        <w:t>.</w:t>
      </w:r>
      <w:r>
        <w:rPr>
          <w:rFonts w:hint="eastAsia" w:ascii="宋体" w:hAnsi="宋体"/>
          <w:b/>
          <w:bCs/>
          <w:color w:val="auto"/>
          <w:szCs w:val="21"/>
          <w:highlight w:val="none"/>
        </w:rPr>
        <w:t>★转包与分包与</w:t>
      </w:r>
      <w:r>
        <w:rPr>
          <w:rFonts w:hint="eastAsia" w:ascii="宋体" w:hAnsi="宋体"/>
          <w:b/>
          <w:color w:val="auto"/>
          <w:szCs w:val="21"/>
          <w:highlight w:val="none"/>
        </w:rPr>
        <w:t>磋商费用</w:t>
      </w:r>
    </w:p>
    <w:p w14:paraId="2333E4B6">
      <w:pPr>
        <w:pStyle w:val="73"/>
        <w:spacing w:line="400" w:lineRule="exact"/>
        <w:rPr>
          <w:rFonts w:ascii="宋体" w:hAnsi="宋体"/>
          <w:color w:val="auto"/>
          <w:kern w:val="0"/>
          <w:highlight w:val="none"/>
        </w:rPr>
      </w:pPr>
      <w:r>
        <w:rPr>
          <w:rFonts w:hint="eastAsia" w:ascii="宋体" w:hAnsi="宋体"/>
          <w:color w:val="auto"/>
          <w:kern w:val="0"/>
          <w:highlight w:val="none"/>
        </w:rPr>
        <w:t>3</w:t>
      </w:r>
      <w:r>
        <w:rPr>
          <w:rFonts w:ascii="宋体" w:hAnsi="宋体"/>
          <w:color w:val="auto"/>
          <w:kern w:val="0"/>
          <w:highlight w:val="none"/>
        </w:rPr>
        <w:t>.1.本项目不允许转包</w:t>
      </w:r>
      <w:r>
        <w:rPr>
          <w:rFonts w:hint="eastAsia" w:ascii="宋体" w:hAnsi="宋体"/>
          <w:color w:val="auto"/>
          <w:kern w:val="0"/>
          <w:highlight w:val="none"/>
        </w:rPr>
        <w:t>或分包</w:t>
      </w:r>
      <w:r>
        <w:rPr>
          <w:rFonts w:ascii="宋体" w:hAnsi="宋体"/>
          <w:color w:val="auto"/>
          <w:kern w:val="0"/>
          <w:highlight w:val="none"/>
        </w:rPr>
        <w:t>。</w:t>
      </w:r>
    </w:p>
    <w:p w14:paraId="65116EE9">
      <w:pPr>
        <w:pStyle w:val="6"/>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3</w:t>
      </w:r>
      <w:r>
        <w:rPr>
          <w:rFonts w:ascii="宋体" w:hAnsi="宋体" w:eastAsia="宋体"/>
          <w:color w:val="auto"/>
          <w:sz w:val="21"/>
          <w:szCs w:val="21"/>
          <w:highlight w:val="none"/>
        </w:rPr>
        <w:t>.2.</w:t>
      </w:r>
      <w:r>
        <w:rPr>
          <w:rFonts w:hint="eastAsia" w:ascii="宋体" w:hAnsi="宋体" w:eastAsia="宋体"/>
          <w:color w:val="auto"/>
          <w:sz w:val="21"/>
          <w:szCs w:val="21"/>
          <w:highlight w:val="none"/>
        </w:rPr>
        <w:t>无论磋商过程中的做法和结果如何，磋商供应商自行承担所有与参加磋商有关的全部费用。</w:t>
      </w:r>
    </w:p>
    <w:p w14:paraId="022A35DF">
      <w:pPr>
        <w:spacing w:line="400" w:lineRule="exact"/>
        <w:ind w:firstLine="422" w:firstLineChars="200"/>
        <w:rPr>
          <w:rFonts w:hint="eastAsia" w:ascii="宋体" w:hAnsi="宋体"/>
          <w:b/>
          <w:color w:val="auto"/>
          <w:szCs w:val="21"/>
          <w:highlight w:val="none"/>
        </w:rPr>
      </w:pPr>
    </w:p>
    <w:p w14:paraId="18F95F1D">
      <w:pPr>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4</w:t>
      </w:r>
      <w:r>
        <w:rPr>
          <w:rFonts w:ascii="宋体" w:hAnsi="宋体"/>
          <w:b/>
          <w:color w:val="auto"/>
          <w:szCs w:val="21"/>
          <w:highlight w:val="none"/>
        </w:rPr>
        <w:t>.</w:t>
      </w:r>
      <w:r>
        <w:rPr>
          <w:rFonts w:hint="eastAsia" w:ascii="宋体" w:hAnsi="宋体"/>
          <w:b/>
          <w:color w:val="auto"/>
          <w:szCs w:val="21"/>
          <w:highlight w:val="none"/>
        </w:rPr>
        <w:t>磋商文件</w:t>
      </w:r>
    </w:p>
    <w:p w14:paraId="2E75DE65">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4</w:t>
      </w:r>
      <w:r>
        <w:rPr>
          <w:rFonts w:ascii="宋体" w:hAnsi="宋体"/>
          <w:color w:val="auto"/>
          <w:sz w:val="21"/>
          <w:szCs w:val="21"/>
          <w:highlight w:val="none"/>
          <w:lang w:val="en-US"/>
        </w:rPr>
        <w:t>.1.</w:t>
      </w:r>
      <w:r>
        <w:rPr>
          <w:rFonts w:hint="eastAsia" w:ascii="宋体" w:hAnsi="宋体"/>
          <w:color w:val="auto"/>
          <w:sz w:val="21"/>
          <w:szCs w:val="21"/>
          <w:highlight w:val="none"/>
          <w:lang w:val="en-US"/>
        </w:rPr>
        <w:t>磋商文件的内容如下：</w:t>
      </w:r>
    </w:p>
    <w:p w14:paraId="5A3513AF">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第一章 磋商邀请书</w:t>
      </w:r>
    </w:p>
    <w:p w14:paraId="5AB9CF34">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第二章 磋商供应商须知</w:t>
      </w:r>
    </w:p>
    <w:p w14:paraId="5CA1B542">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第三章 响应文件格式</w:t>
      </w:r>
    </w:p>
    <w:p w14:paraId="60AD2CFA">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第四章 采购需求</w:t>
      </w:r>
    </w:p>
    <w:p w14:paraId="3C9D4FAC">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第五章 合同主要条款</w:t>
      </w:r>
    </w:p>
    <w:p w14:paraId="26C60A2D">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第六章 评标办法及评分标准</w:t>
      </w:r>
    </w:p>
    <w:p w14:paraId="17FD0EBE">
      <w:pPr>
        <w:pStyle w:val="6"/>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4</w:t>
      </w:r>
      <w:r>
        <w:rPr>
          <w:rFonts w:hint="eastAsia" w:ascii="宋体" w:hAnsi="宋体" w:eastAsia="宋体"/>
          <w:color w:val="auto"/>
          <w:sz w:val="21"/>
          <w:szCs w:val="21"/>
          <w:highlight w:val="none"/>
        </w:rPr>
        <w:t>.</w:t>
      </w:r>
      <w:r>
        <w:rPr>
          <w:rFonts w:ascii="宋体" w:hAnsi="宋体" w:eastAsia="宋体"/>
          <w:color w:val="auto"/>
          <w:sz w:val="21"/>
          <w:szCs w:val="21"/>
          <w:highlight w:val="none"/>
        </w:rPr>
        <w:t>2.</w:t>
      </w:r>
      <w:r>
        <w:rPr>
          <w:rFonts w:hint="eastAsia" w:ascii="宋体" w:hAnsi="宋体" w:eastAsia="宋体"/>
          <w:color w:val="auto"/>
          <w:sz w:val="21"/>
          <w:szCs w:val="21"/>
          <w:highlight w:val="none"/>
        </w:rPr>
        <w:t>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p>
    <w:p w14:paraId="0CFA0792">
      <w:pPr>
        <w:spacing w:line="400" w:lineRule="exact"/>
        <w:ind w:firstLine="422" w:firstLineChars="200"/>
        <w:rPr>
          <w:rFonts w:hint="eastAsia" w:ascii="宋体" w:hAnsi="宋体"/>
          <w:b/>
          <w:color w:val="auto"/>
          <w:szCs w:val="21"/>
          <w:highlight w:val="none"/>
        </w:rPr>
      </w:pPr>
    </w:p>
    <w:p w14:paraId="37657605">
      <w:pPr>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5</w:t>
      </w:r>
      <w:r>
        <w:rPr>
          <w:rFonts w:ascii="宋体" w:hAnsi="宋体"/>
          <w:b/>
          <w:color w:val="auto"/>
          <w:szCs w:val="21"/>
          <w:highlight w:val="none"/>
        </w:rPr>
        <w:t>.</w:t>
      </w:r>
      <w:r>
        <w:rPr>
          <w:rFonts w:hint="eastAsia" w:ascii="宋体" w:hAnsi="宋体"/>
          <w:b/>
          <w:color w:val="auto"/>
          <w:szCs w:val="21"/>
          <w:highlight w:val="none"/>
        </w:rPr>
        <w:t>磋商文件的澄清和修改</w:t>
      </w:r>
    </w:p>
    <w:p w14:paraId="76763A8A">
      <w:pPr>
        <w:pStyle w:val="6"/>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.1</w:t>
      </w:r>
      <w:r>
        <w:rPr>
          <w:rFonts w:ascii="宋体" w:hAnsi="宋体" w:eastAsia="宋体"/>
          <w:color w:val="auto"/>
          <w:sz w:val="21"/>
          <w:szCs w:val="21"/>
          <w:highlight w:val="none"/>
        </w:rPr>
        <w:t>.</w:t>
      </w:r>
      <w:r>
        <w:rPr>
          <w:rFonts w:hint="eastAsia" w:ascii="宋体" w:hAnsi="宋体" w:eastAsia="宋体"/>
          <w:color w:val="auto"/>
          <w:sz w:val="21"/>
          <w:szCs w:val="21"/>
          <w:highlight w:val="none"/>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2C9066F1">
      <w:pPr>
        <w:pStyle w:val="6"/>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.2</w:t>
      </w:r>
      <w:r>
        <w:rPr>
          <w:rFonts w:ascii="宋体" w:hAnsi="宋体" w:eastAsia="宋体"/>
          <w:color w:val="auto"/>
          <w:sz w:val="21"/>
          <w:szCs w:val="21"/>
          <w:highlight w:val="none"/>
        </w:rPr>
        <w:t>.</w:t>
      </w:r>
      <w:r>
        <w:rPr>
          <w:rFonts w:hint="eastAsia" w:ascii="宋体" w:hAnsi="宋体" w:eastAsia="宋体"/>
          <w:color w:val="auto"/>
          <w:sz w:val="21"/>
          <w:szCs w:val="21"/>
          <w:highlight w:val="none"/>
        </w:rPr>
        <w:t>磋商文件的澄清、修改等内容与竞争性磋商文件在同一内容的表述上不一致时，以发出日期最接近磋商时间的公告为准。</w:t>
      </w:r>
    </w:p>
    <w:p w14:paraId="62CDFF11">
      <w:pPr>
        <w:pStyle w:val="6"/>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.3</w:t>
      </w:r>
      <w:r>
        <w:rPr>
          <w:rFonts w:ascii="宋体" w:hAnsi="宋体" w:eastAsia="宋体"/>
          <w:color w:val="auto"/>
          <w:sz w:val="21"/>
          <w:szCs w:val="21"/>
          <w:highlight w:val="none"/>
        </w:rPr>
        <w:t>.</w:t>
      </w:r>
      <w:r>
        <w:rPr>
          <w:rFonts w:hint="eastAsia" w:ascii="宋体" w:hAnsi="宋体" w:eastAsia="宋体"/>
          <w:color w:val="auto"/>
          <w:sz w:val="21"/>
          <w:szCs w:val="21"/>
          <w:highlight w:val="none"/>
        </w:rPr>
        <w:t>磋商文件的澄清、修改等内容均将在财政部门指定的政府采购信息发布媒体上发布，作为磋商文件的组成部分，对供应商起约束作用。</w:t>
      </w:r>
    </w:p>
    <w:p w14:paraId="2F964764">
      <w:pPr>
        <w:spacing w:line="400" w:lineRule="exact"/>
        <w:ind w:firstLine="422" w:firstLineChars="200"/>
        <w:rPr>
          <w:rFonts w:hint="eastAsia" w:ascii="宋体" w:hAnsi="宋体"/>
          <w:b/>
          <w:color w:val="auto"/>
          <w:szCs w:val="21"/>
          <w:highlight w:val="none"/>
        </w:rPr>
      </w:pPr>
    </w:p>
    <w:p w14:paraId="09DEE43F">
      <w:pPr>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6</w:t>
      </w:r>
      <w:r>
        <w:rPr>
          <w:rFonts w:ascii="宋体" w:hAnsi="宋体"/>
          <w:b/>
          <w:color w:val="auto"/>
          <w:szCs w:val="21"/>
          <w:highlight w:val="none"/>
        </w:rPr>
        <w:t>.</w:t>
      </w:r>
      <w:r>
        <w:rPr>
          <w:rFonts w:hint="eastAsia" w:ascii="宋体" w:hAnsi="宋体"/>
          <w:b/>
          <w:color w:val="auto"/>
          <w:szCs w:val="21"/>
          <w:highlight w:val="none"/>
        </w:rPr>
        <w:t>★响应文件计量单位和使用文字</w:t>
      </w:r>
    </w:p>
    <w:p w14:paraId="36F4D9A9">
      <w:pPr>
        <w:pStyle w:val="6"/>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.1</w:t>
      </w:r>
      <w:r>
        <w:rPr>
          <w:rFonts w:ascii="宋体" w:hAnsi="宋体" w:eastAsia="宋体"/>
          <w:color w:val="auto"/>
          <w:sz w:val="21"/>
          <w:szCs w:val="21"/>
          <w:highlight w:val="none"/>
        </w:rPr>
        <w:t>.</w:t>
      </w:r>
      <w:r>
        <w:rPr>
          <w:rFonts w:hint="eastAsia" w:ascii="宋体" w:hAnsi="宋体" w:eastAsia="宋体"/>
          <w:color w:val="auto"/>
          <w:sz w:val="21"/>
          <w:szCs w:val="21"/>
          <w:highlight w:val="none"/>
        </w:rPr>
        <w:t>响应文件中所使用的计量单位，除竞争性磋商文件中有特殊要求外，均应使用中华人民共和国法定计量单位。</w:t>
      </w:r>
    </w:p>
    <w:p w14:paraId="017A0C4D">
      <w:pPr>
        <w:pStyle w:val="6"/>
        <w:overflowPunct w:val="0"/>
        <w:spacing w:line="400" w:lineRule="exact"/>
        <w:ind w:firstLineChars="200"/>
        <w:jc w:val="both"/>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.2</w:t>
      </w:r>
      <w:r>
        <w:rPr>
          <w:rFonts w:ascii="宋体" w:hAnsi="宋体" w:eastAsia="宋体"/>
          <w:color w:val="auto"/>
          <w:sz w:val="21"/>
          <w:szCs w:val="21"/>
          <w:highlight w:val="none"/>
        </w:rPr>
        <w:t>.</w:t>
      </w:r>
      <w:r>
        <w:rPr>
          <w:rFonts w:hint="eastAsia" w:ascii="宋体" w:hAnsi="宋体" w:eastAsia="宋体"/>
          <w:color w:val="auto"/>
          <w:sz w:val="21"/>
          <w:szCs w:val="21"/>
          <w:highlight w:val="none"/>
        </w:rPr>
        <w:t>响应文件应使用中文编制，响应文件中使用其他文字的，必须附有中文译本，且以中文译本为准。对于未附有中文译本和中文译本不准确的响应文件可能引起的对供应商不利的后果，磋商采购单位概不负责。</w:t>
      </w:r>
    </w:p>
    <w:p w14:paraId="25392297">
      <w:pPr>
        <w:pStyle w:val="6"/>
        <w:keepNext w:val="0"/>
        <w:keepLines w:val="0"/>
        <w:pageBreakBefore w:val="0"/>
        <w:kinsoku/>
        <w:wordWrap/>
        <w:overflowPunct/>
        <w:topLinePunct w:val="0"/>
        <w:autoSpaceDE/>
        <w:autoSpaceDN/>
        <w:bidi w:val="0"/>
        <w:spacing w:line="440" w:lineRule="exact"/>
        <w:ind w:left="0" w:leftChars="0" w:firstLine="422" w:firstLineChars="200"/>
        <w:rPr>
          <w:rFonts w:hint="eastAsia" w:ascii="宋体" w:hAnsi="宋体" w:eastAsia="宋体" w:cs="宋体"/>
          <w:b/>
          <w:color w:val="auto"/>
          <w:sz w:val="21"/>
          <w:szCs w:val="21"/>
          <w:highlight w:val="none"/>
          <w:lang w:val="en-US" w:eastAsia="zh-CN"/>
        </w:rPr>
      </w:pPr>
    </w:p>
    <w:p w14:paraId="107C33A9">
      <w:pPr>
        <w:pStyle w:val="6"/>
        <w:keepNext w:val="0"/>
        <w:keepLines w:val="0"/>
        <w:pageBreakBefore w:val="0"/>
        <w:kinsoku/>
        <w:wordWrap/>
        <w:overflowPunct/>
        <w:topLinePunct w:val="0"/>
        <w:autoSpaceDE/>
        <w:autoSpaceDN/>
        <w:bidi w:val="0"/>
        <w:spacing w:line="440" w:lineRule="exact"/>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w:t>
      </w:r>
      <w:r>
        <w:rPr>
          <w:rFonts w:hint="eastAsia" w:ascii="宋体" w:hAnsi="宋体" w:eastAsia="宋体" w:cs="宋体"/>
          <w:b/>
          <w:color w:val="auto"/>
          <w:sz w:val="21"/>
          <w:szCs w:val="21"/>
          <w:highlight w:val="none"/>
        </w:rPr>
        <w:t>响应文件的组成及要求</w:t>
      </w:r>
    </w:p>
    <w:p w14:paraId="2C7AF620">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7.1</w:t>
      </w:r>
      <w:r>
        <w:rPr>
          <w:rFonts w:hint="eastAsia" w:ascii="宋体" w:hAnsi="宋体" w:eastAsia="宋体" w:cs="宋体"/>
          <w:b/>
          <w:color w:val="auto"/>
          <w:sz w:val="21"/>
          <w:szCs w:val="21"/>
          <w:highlight w:val="none"/>
        </w:rPr>
        <w:t>封面</w:t>
      </w:r>
    </w:p>
    <w:p w14:paraId="105FBBF5">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7.2</w:t>
      </w:r>
      <w:r>
        <w:rPr>
          <w:rFonts w:hint="eastAsia" w:ascii="宋体" w:hAnsi="宋体" w:eastAsia="宋体" w:cs="宋体"/>
          <w:b/>
          <w:color w:val="auto"/>
          <w:sz w:val="21"/>
          <w:szCs w:val="21"/>
          <w:highlight w:val="none"/>
        </w:rPr>
        <w:t>磋商报价表</w:t>
      </w:r>
    </w:p>
    <w:p w14:paraId="53C7533F">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7.3</w:t>
      </w:r>
      <w:r>
        <w:rPr>
          <w:rFonts w:hint="eastAsia" w:ascii="宋体" w:hAnsi="宋体" w:eastAsia="宋体" w:cs="宋体"/>
          <w:b/>
          <w:color w:val="auto"/>
          <w:sz w:val="21"/>
          <w:szCs w:val="21"/>
          <w:highlight w:val="none"/>
        </w:rPr>
        <w:t>资格审查响应文件</w:t>
      </w:r>
    </w:p>
    <w:p w14:paraId="3E19BD71">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3.1具有独立承担民事责任的能力证明。</w:t>
      </w:r>
      <w:r>
        <w:rPr>
          <w:rFonts w:hint="eastAsia" w:ascii="宋体" w:hAnsi="宋体" w:eastAsia="宋体" w:cs="宋体"/>
          <w:b/>
          <w:bCs w:val="0"/>
          <w:color w:val="auto"/>
          <w:sz w:val="21"/>
          <w:szCs w:val="21"/>
          <w:highlight w:val="none"/>
        </w:rPr>
        <w:t>提供营业执照或事业单位法人证等法人证明材料（复印件加盖公章）；</w:t>
      </w:r>
    </w:p>
    <w:p w14:paraId="5223441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3.2具有良好的商业信誉和健全的财务会计制度。提供包括但不限于最近一期经审计的财务报告或最近一期财务报表（资产负债表、利润表），其他组织、自然人及成立未满一年的法人应提供银行出具的资信证明；</w:t>
      </w:r>
    </w:p>
    <w:p w14:paraId="7813B269">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3有依法缴纳税收和社会保障资金的良好记录</w:t>
      </w:r>
      <w:r>
        <w:rPr>
          <w:rFonts w:hint="eastAsia" w:ascii="宋体" w:hAnsi="宋体" w:eastAsia="宋体" w:cs="宋体"/>
          <w:b/>
          <w:color w:val="auto"/>
          <w:sz w:val="21"/>
          <w:szCs w:val="21"/>
          <w:highlight w:val="none"/>
        </w:rPr>
        <w:t>（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auto"/>
          <w:sz w:val="21"/>
          <w:szCs w:val="21"/>
          <w:highlight w:val="none"/>
        </w:rPr>
        <w:t>；</w:t>
      </w:r>
    </w:p>
    <w:p w14:paraId="32CE3548">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3.4</w:t>
      </w:r>
      <w:r>
        <w:rPr>
          <w:rFonts w:hint="eastAsia" w:ascii="宋体" w:hAnsi="宋体" w:eastAsia="宋体" w:cs="宋体"/>
          <w:color w:val="auto"/>
          <w:kern w:val="0"/>
          <w:sz w:val="21"/>
          <w:szCs w:val="21"/>
          <w:highlight w:val="none"/>
        </w:rPr>
        <w:t>具有</w:t>
      </w:r>
      <w:r>
        <w:rPr>
          <w:rFonts w:hint="eastAsia" w:ascii="宋体" w:hAnsi="宋体" w:eastAsia="宋体" w:cs="宋体"/>
          <w:bCs/>
          <w:color w:val="auto"/>
          <w:sz w:val="21"/>
          <w:szCs w:val="21"/>
          <w:highlight w:val="none"/>
        </w:rPr>
        <w:t>履行合同所必需的设备和专业技术能力的证明材料或承诺；</w:t>
      </w:r>
    </w:p>
    <w:p w14:paraId="55B2AA25">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3.5参加政府采购活动前三年内在经营活动中没有重大违法记录的书面声明函；</w:t>
      </w:r>
    </w:p>
    <w:p w14:paraId="63253C51">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7.</w:t>
      </w:r>
      <w:r>
        <w:rPr>
          <w:rFonts w:hint="eastAsia" w:ascii="宋体" w:hAnsi="宋体" w:eastAsia="宋体" w:cs="宋体"/>
          <w:b/>
          <w:bCs w:val="0"/>
          <w:color w:val="auto"/>
          <w:sz w:val="21"/>
          <w:szCs w:val="21"/>
          <w:highlight w:val="none"/>
        </w:rPr>
        <w:t>3.</w:t>
      </w:r>
      <w:r>
        <w:rPr>
          <w:rFonts w:hint="eastAsia" w:ascii="宋体" w:hAnsi="宋体" w:eastAsia="宋体" w:cs="宋体"/>
          <w:b/>
          <w:bCs w:val="0"/>
          <w:color w:val="auto"/>
          <w:sz w:val="21"/>
          <w:szCs w:val="21"/>
          <w:highlight w:val="none"/>
          <w:lang w:val="en-US" w:eastAsia="zh-CN"/>
        </w:rPr>
        <w:t>6落实政府采购政策需满足的资格要求：提供</w:t>
      </w:r>
      <w:r>
        <w:rPr>
          <w:rFonts w:hint="eastAsia" w:ascii="宋体" w:hAnsi="宋体" w:eastAsia="宋体" w:cs="宋体"/>
          <w:b/>
          <w:bCs w:val="0"/>
          <w:color w:val="auto"/>
          <w:sz w:val="21"/>
          <w:szCs w:val="21"/>
          <w:highlight w:val="none"/>
        </w:rPr>
        <w:t>《中小企业声明函》或《残疾人福利性单位声明函》或由省级以上监狱管理局、戒毒管理局（含新疆生产建设兵团）出具的属于监狱企业的证明文件；</w:t>
      </w:r>
    </w:p>
    <w:p w14:paraId="6DC321EA">
      <w:pPr>
        <w:pStyle w:val="6"/>
        <w:keepNext w:val="0"/>
        <w:keepLines w:val="0"/>
        <w:pageBreakBefore w:val="0"/>
        <w:kinsoku/>
        <w:wordWrap/>
        <w:overflowPunct/>
        <w:topLinePunct w:val="0"/>
        <w:autoSpaceDE/>
        <w:autoSpaceDN/>
        <w:bidi w:val="0"/>
        <w:spacing w:line="440" w:lineRule="exact"/>
        <w:ind w:left="0" w:firstLine="420"/>
        <w:rPr>
          <w:rFonts w:hint="default"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val="en-US" w:eastAsia="zh-CN"/>
        </w:rPr>
        <w:t>7.</w:t>
      </w:r>
      <w:r>
        <w:rPr>
          <w:rFonts w:hint="eastAsia" w:ascii="宋体" w:hAnsi="宋体" w:eastAsia="宋体" w:cs="宋体"/>
          <w:b/>
          <w:bCs w:val="0"/>
          <w:color w:val="auto"/>
          <w:sz w:val="21"/>
          <w:szCs w:val="21"/>
          <w:highlight w:val="none"/>
        </w:rPr>
        <w:t>3.</w:t>
      </w:r>
      <w:r>
        <w:rPr>
          <w:rFonts w:hint="eastAsia" w:ascii="宋体" w:hAnsi="宋体" w:eastAsia="宋体" w:cs="宋体"/>
          <w:b/>
          <w:bCs w:val="0"/>
          <w:color w:val="auto"/>
          <w:sz w:val="21"/>
          <w:szCs w:val="21"/>
          <w:highlight w:val="none"/>
          <w:lang w:val="en-US" w:eastAsia="zh-CN"/>
        </w:rPr>
        <w:t>7 其他资格特殊证明材料：具有经公安部门批准的《保安服务许可证》。</w:t>
      </w:r>
    </w:p>
    <w:p w14:paraId="2D8F8C80">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7.4</w:t>
      </w:r>
      <w:r>
        <w:rPr>
          <w:rFonts w:hint="eastAsia" w:ascii="宋体" w:hAnsi="宋体" w:eastAsia="宋体" w:cs="宋体"/>
          <w:b/>
          <w:color w:val="auto"/>
          <w:sz w:val="21"/>
          <w:szCs w:val="21"/>
          <w:highlight w:val="none"/>
        </w:rPr>
        <w:t>符合性审查响应文件</w:t>
      </w:r>
    </w:p>
    <w:p w14:paraId="1591B30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.1法定代表人授权委托书（如有授权，格式见第三章）；</w:t>
      </w:r>
    </w:p>
    <w:p w14:paraId="5EFEA89C">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磋商响应承诺书（格式见第三章）；</w:t>
      </w:r>
    </w:p>
    <w:p w14:paraId="63583E91">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color w:val="auto"/>
          <w:sz w:val="21"/>
          <w:szCs w:val="21"/>
          <w:highlight w:val="none"/>
        </w:rPr>
        <w:t>响应报价分析表（格式见第三章）</w:t>
      </w:r>
    </w:p>
    <w:p w14:paraId="10F1B76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4服务条款偏离表、商务条款偏离表</w:t>
      </w:r>
      <w:r>
        <w:rPr>
          <w:rFonts w:hint="eastAsia" w:ascii="宋体" w:hAnsi="宋体" w:eastAsia="宋体" w:cs="宋体"/>
          <w:color w:val="auto"/>
          <w:sz w:val="21"/>
          <w:szCs w:val="21"/>
          <w:highlight w:val="none"/>
        </w:rPr>
        <w:t>（格式见第三章）；</w:t>
      </w:r>
    </w:p>
    <w:p w14:paraId="19BCD50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5</w:t>
      </w:r>
      <w:r>
        <w:rPr>
          <w:rFonts w:hint="eastAsia" w:ascii="宋体" w:hAnsi="宋体" w:eastAsia="宋体" w:cs="宋体"/>
          <w:bCs/>
          <w:color w:val="auto"/>
          <w:sz w:val="21"/>
          <w:szCs w:val="21"/>
          <w:highlight w:val="none"/>
        </w:rPr>
        <w:t>响应单位基本情况表（格式见第三章）；</w:t>
      </w:r>
    </w:p>
    <w:p w14:paraId="2242D9C0">
      <w:pPr>
        <w:pStyle w:val="6"/>
        <w:keepNext w:val="0"/>
        <w:keepLines w:val="0"/>
        <w:pageBreakBefore w:val="0"/>
        <w:kinsoku/>
        <w:wordWrap/>
        <w:overflowPunct/>
        <w:topLinePunct w:val="0"/>
        <w:autoSpaceDE/>
        <w:autoSpaceDN/>
        <w:bidi w:val="0"/>
        <w:spacing w:line="440" w:lineRule="exact"/>
        <w:ind w:left="0" w:firstLine="420"/>
        <w:rPr>
          <w:rFonts w:hint="eastAsia"/>
          <w:color w:val="auto"/>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6</w:t>
      </w:r>
      <w:r>
        <w:rPr>
          <w:rFonts w:hint="eastAsia" w:ascii="宋体" w:hAnsi="宋体" w:eastAsia="宋体" w:cs="宋体"/>
          <w:bCs/>
          <w:color w:val="auto"/>
          <w:sz w:val="21"/>
          <w:szCs w:val="21"/>
          <w:highlight w:val="none"/>
        </w:rPr>
        <w:t>关于资格文件的声明函（格式见第三章）；</w:t>
      </w:r>
    </w:p>
    <w:p w14:paraId="78C03420">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响应单位法定代表人身份证复印件；</w:t>
      </w:r>
    </w:p>
    <w:p w14:paraId="45D178EA">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rPr>
        <w:t>响应单位授权代理人身份证复印件（如有授权）；</w:t>
      </w:r>
    </w:p>
    <w:p w14:paraId="42CD9B5E">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9实质性条款（承诺函）；</w:t>
      </w:r>
    </w:p>
    <w:p w14:paraId="28CCD068">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4.10</w:t>
      </w:r>
      <w:r>
        <w:rPr>
          <w:rFonts w:hint="eastAsia" w:ascii="宋体" w:hAnsi="宋体" w:eastAsia="宋体" w:cs="宋体"/>
          <w:color w:val="auto"/>
          <w:sz w:val="21"/>
          <w:szCs w:val="21"/>
          <w:highlight w:val="none"/>
        </w:rPr>
        <w:t>其他有关符合性证明的文件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投标（响应）保证承诺书等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65641800">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color w:val="auto"/>
          <w:sz w:val="21"/>
          <w:szCs w:val="21"/>
          <w:highlight w:val="none"/>
        </w:rPr>
      </w:pPr>
      <w:r>
        <w:rPr>
          <w:rFonts w:hint="eastAsia" w:ascii="宋体" w:hAnsi="宋体" w:eastAsia="宋体" w:cs="宋体"/>
          <w:b/>
          <w:bCs w:val="0"/>
          <w:color w:val="auto"/>
          <w:sz w:val="21"/>
          <w:szCs w:val="21"/>
          <w:highlight w:val="none"/>
          <w:lang w:val="en-US" w:eastAsia="zh-CN"/>
        </w:rPr>
        <w:t>7.5</w:t>
      </w:r>
      <w:r>
        <w:rPr>
          <w:rFonts w:hint="eastAsia" w:ascii="宋体" w:hAnsi="宋体" w:eastAsia="宋体" w:cs="宋体"/>
          <w:b/>
          <w:bCs w:val="0"/>
          <w:color w:val="auto"/>
          <w:sz w:val="21"/>
          <w:szCs w:val="21"/>
          <w:highlight w:val="none"/>
        </w:rPr>
        <w:t>综</w:t>
      </w:r>
      <w:r>
        <w:rPr>
          <w:rFonts w:hint="eastAsia" w:ascii="宋体" w:hAnsi="宋体" w:eastAsia="宋体" w:cs="宋体"/>
          <w:b/>
          <w:color w:val="auto"/>
          <w:sz w:val="21"/>
          <w:szCs w:val="21"/>
          <w:highlight w:val="none"/>
        </w:rPr>
        <w:t>合评审响应文件</w:t>
      </w:r>
    </w:p>
    <w:p w14:paraId="292BEF3A">
      <w:pPr>
        <w:spacing w:line="360" w:lineRule="auto"/>
        <w:ind w:left="0" w:firstLine="408"/>
        <w:rPr>
          <w:rFonts w:hint="eastAsia" w:ascii="宋体" w:hAnsi="宋体" w:eastAsia="宋体" w:cs="Times New Roman"/>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w:t>
      </w:r>
      <w:r>
        <w:rPr>
          <w:rFonts w:hint="eastAsia" w:ascii="宋体" w:hAnsi="宋体" w:cs="Times New Roman"/>
          <w:color w:val="auto"/>
          <w:sz w:val="21"/>
          <w:szCs w:val="21"/>
          <w:highlight w:val="none"/>
          <w:lang w:val="en-US" w:eastAsia="zh-CN"/>
        </w:rPr>
        <w:t>5</w:t>
      </w:r>
      <w:r>
        <w:rPr>
          <w:rFonts w:ascii="宋体" w:hAnsi="宋体" w:cs="Times New Roman"/>
          <w:color w:val="auto"/>
          <w:sz w:val="21"/>
          <w:szCs w:val="21"/>
          <w:highlight w:val="none"/>
          <w:lang w:val="zh-CN"/>
        </w:rPr>
        <w:t>.1</w:t>
      </w:r>
      <w:r>
        <w:rPr>
          <w:rFonts w:hint="eastAsia" w:ascii="宋体" w:hAnsi="宋体" w:cs="Times New Roman"/>
          <w:color w:val="auto"/>
          <w:sz w:val="21"/>
          <w:szCs w:val="21"/>
          <w:highlight w:val="none"/>
          <w:lang w:val="en-US" w:eastAsia="zh-CN"/>
        </w:rPr>
        <w:t xml:space="preserve"> </w:t>
      </w:r>
      <w:r>
        <w:rPr>
          <w:rFonts w:hint="eastAsia" w:ascii="Times New Roman" w:hAnsi="Times New Roman" w:eastAsia="宋体"/>
          <w:color w:val="auto"/>
          <w:sz w:val="21"/>
          <w:szCs w:val="21"/>
          <w:highlight w:val="none"/>
        </w:rPr>
        <w:t>服务技术方案</w:t>
      </w:r>
    </w:p>
    <w:p w14:paraId="1A8986A5">
      <w:pPr>
        <w:spacing w:line="360" w:lineRule="auto"/>
        <w:ind w:left="0" w:firstLine="408"/>
        <w:rPr>
          <w:rFonts w:hint="eastAsia" w:ascii="宋体" w:hAnsi="宋体" w:cs="Times New Roman"/>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w:t>
      </w:r>
      <w:r>
        <w:rPr>
          <w:rFonts w:hint="eastAsia" w:ascii="宋体" w:hAnsi="宋体" w:cs="Times New Roman"/>
          <w:color w:val="auto"/>
          <w:sz w:val="21"/>
          <w:szCs w:val="21"/>
          <w:highlight w:val="none"/>
          <w:lang w:val="en-US" w:eastAsia="zh-CN"/>
        </w:rPr>
        <w:t>5</w:t>
      </w:r>
      <w:r>
        <w:rPr>
          <w:rFonts w:ascii="宋体" w:hAnsi="宋体" w:cs="Times New Roman"/>
          <w:color w:val="auto"/>
          <w:sz w:val="21"/>
          <w:szCs w:val="21"/>
          <w:highlight w:val="none"/>
          <w:lang w:val="zh-CN"/>
        </w:rPr>
        <w:t>.</w:t>
      </w:r>
      <w:r>
        <w:rPr>
          <w:rFonts w:hint="eastAsia" w:ascii="宋体" w:hAnsi="宋体" w:cs="Times New Roman"/>
          <w:color w:val="auto"/>
          <w:sz w:val="21"/>
          <w:szCs w:val="21"/>
          <w:highlight w:val="none"/>
          <w:lang w:val="en-US" w:eastAsia="zh-CN"/>
        </w:rPr>
        <w:t xml:space="preserve">2 </w:t>
      </w:r>
      <w:r>
        <w:rPr>
          <w:rFonts w:hint="eastAsia" w:ascii="宋体" w:hAnsi="宋体" w:eastAsia="宋体" w:cs="Times New Roman"/>
          <w:bCs/>
          <w:color w:val="auto"/>
          <w:szCs w:val="21"/>
          <w:highlight w:val="none"/>
        </w:rPr>
        <w:t>投标人管理体系资质证书比较</w:t>
      </w:r>
    </w:p>
    <w:p w14:paraId="2D38F332">
      <w:pPr>
        <w:spacing w:line="360" w:lineRule="auto"/>
        <w:ind w:left="0" w:firstLine="408"/>
        <w:rPr>
          <w:rFonts w:hint="eastAsia" w:ascii="宋体" w:hAnsi="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5.</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其他可以证明</w:t>
      </w:r>
      <w:r>
        <w:rPr>
          <w:rFonts w:hint="eastAsia" w:ascii="宋体" w:hAnsi="宋体"/>
          <w:color w:val="auto"/>
          <w:sz w:val="21"/>
          <w:szCs w:val="21"/>
          <w:highlight w:val="none"/>
        </w:rPr>
        <w:t>投标人资质、服务质量的证书、文件等相关资料。</w:t>
      </w:r>
    </w:p>
    <w:p w14:paraId="11A3BF79">
      <w:pPr>
        <w:pStyle w:val="6"/>
        <w:keepNext w:val="0"/>
        <w:keepLines w:val="0"/>
        <w:pageBreakBefore w:val="0"/>
        <w:kinsoku/>
        <w:wordWrap/>
        <w:overflowPunct/>
        <w:topLinePunct w:val="0"/>
        <w:autoSpaceDE/>
        <w:autoSpaceDN/>
        <w:bidi w:val="0"/>
        <w:spacing w:line="440" w:lineRule="exact"/>
        <w:ind w:left="0" w:leftChars="0" w:firstLine="422" w:firstLineChars="20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8、价格折扣文件：</w:t>
      </w:r>
    </w:p>
    <w:p w14:paraId="0C8EE00F">
      <w:pPr>
        <w:pStyle w:val="73"/>
        <w:spacing w:line="360" w:lineRule="auto"/>
        <w:ind w:firstLine="0"/>
        <w:rPr>
          <w:rFonts w:hint="eastAsia" w:ascii="宋体" w:hAnsi="宋体"/>
          <w:color w:val="auto"/>
          <w:sz w:val="21"/>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.1</w:t>
      </w:r>
      <w:r>
        <w:rPr>
          <w:rFonts w:hint="eastAsia" w:ascii="宋体" w:hAnsi="宋体" w:cs="宋体"/>
          <w:color w:val="auto"/>
          <w:highlight w:val="none"/>
          <w:lang w:val="zh-CN"/>
        </w:rPr>
        <w:t>《中小企业声明函》、《残疾人福利性单位声明函》、省级以上监狱管理局、戒毒管理局（含新疆生产建设兵团）出具的属于监狱企业的证明文件（不属于上述企业类型的单位应根据单位实际类型提供声明函）</w:t>
      </w:r>
      <w:r>
        <w:rPr>
          <w:rFonts w:hint="eastAsia" w:ascii="宋体" w:hAnsi="宋体" w:cs="宋体"/>
          <w:color w:val="auto"/>
          <w:highlight w:val="none"/>
        </w:rPr>
        <w:t>。</w:t>
      </w:r>
    </w:p>
    <w:p w14:paraId="039483AA">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注：</w:t>
      </w:r>
      <w:r>
        <w:rPr>
          <w:rFonts w:hint="eastAsia" w:ascii="宋体" w:hAnsi="宋体" w:eastAsia="宋体" w:cs="宋体"/>
          <w:b/>
          <w:bCs/>
          <w:color w:val="auto"/>
          <w:sz w:val="21"/>
          <w:szCs w:val="21"/>
          <w:highlight w:val="none"/>
        </w:rPr>
        <w:t>（1）以上</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3.1-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为资格审查要求提供的材料，是作为对供应商资格审查、质疑身份认定的依据，响应供应商必须提供并加盖电子公章。否则，磋商响应文件将被认定为不符合资格审查要求。</w:t>
      </w:r>
    </w:p>
    <w:p w14:paraId="36E5C839">
      <w:pPr>
        <w:pStyle w:val="6"/>
        <w:keepNext w:val="0"/>
        <w:keepLines w:val="0"/>
        <w:pageBreakBefore w:val="0"/>
        <w:numPr>
          <w:ilvl w:val="0"/>
          <w:numId w:val="3"/>
        </w:numPr>
        <w:kinsoku/>
        <w:wordWrap/>
        <w:overflowPunct/>
        <w:topLinePunct w:val="0"/>
        <w:autoSpaceDE/>
        <w:autoSpaceDN/>
        <w:bidi w:val="0"/>
        <w:spacing w:line="440" w:lineRule="exact"/>
        <w:ind w:left="0" w:firstLine="84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以上</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4.1-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4.</w:t>
      </w:r>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为符合性审查须提供的资料，响应供应商必须提供并加盖电子公章。否则，磋商响应文件将被认定为未实质性响应。</w:t>
      </w:r>
    </w:p>
    <w:p w14:paraId="279634A0">
      <w:pPr>
        <w:pStyle w:val="6"/>
        <w:keepNext w:val="0"/>
        <w:keepLines w:val="0"/>
        <w:pageBreakBefore w:val="0"/>
        <w:numPr>
          <w:ilvl w:val="0"/>
          <w:numId w:val="3"/>
        </w:numPr>
        <w:kinsoku/>
        <w:wordWrap/>
        <w:overflowPunct/>
        <w:topLinePunct w:val="0"/>
        <w:autoSpaceDE/>
        <w:autoSpaceDN/>
        <w:bidi w:val="0"/>
        <w:spacing w:line="440" w:lineRule="exact"/>
        <w:ind w:left="0" w:firstLine="84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制作电子响应文件时必须与投标文件制作软件目录一一对应，将相关资料上传至相应模块。</w:t>
      </w:r>
    </w:p>
    <w:p w14:paraId="7CA8D0BA">
      <w:pPr>
        <w:pStyle w:val="6"/>
        <w:keepNext w:val="0"/>
        <w:keepLines w:val="0"/>
        <w:pageBreakBefore w:val="0"/>
        <w:kinsoku/>
        <w:wordWrap/>
        <w:overflowPunct/>
        <w:topLinePunct w:val="0"/>
        <w:autoSpaceDE/>
        <w:autoSpaceDN/>
        <w:bidi w:val="0"/>
        <w:spacing w:line="440" w:lineRule="exact"/>
        <w:ind w:left="0" w:firstLine="843"/>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rPr>
        <w:t>4）</w:t>
      </w:r>
      <w:r>
        <w:rPr>
          <w:rFonts w:hint="eastAsia" w:ascii="宋体" w:hAnsi="宋体" w:eastAsia="宋体" w:cs="宋体"/>
          <w:b/>
          <w:color w:val="auto"/>
          <w:sz w:val="21"/>
          <w:szCs w:val="21"/>
          <w:highlight w:val="none"/>
        </w:rPr>
        <w:t>磋商响应文件编制要求：</w:t>
      </w:r>
      <w:r>
        <w:rPr>
          <w:rFonts w:hint="eastAsia" w:ascii="宋体" w:hAnsi="宋体" w:eastAsia="宋体" w:cs="宋体"/>
          <w:bCs/>
          <w:color w:val="auto"/>
          <w:sz w:val="21"/>
          <w:szCs w:val="21"/>
          <w:highlight w:val="none"/>
        </w:rPr>
        <w:t>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供应商应充分考虑到网络环境、网络带宽等风险因素，如因供应商自身原因造成的电子响应文件上传不成功由供应商自行承担全部责任。</w:t>
      </w:r>
      <w:r>
        <w:rPr>
          <w:rFonts w:hint="eastAsia" w:ascii="宋体" w:hAnsi="宋体" w:eastAsia="宋体" w:cs="宋体"/>
          <w:b/>
          <w:bCs w:val="0"/>
          <w:color w:val="auto"/>
          <w:sz w:val="21"/>
          <w:szCs w:val="21"/>
          <w:highlight w:val="none"/>
        </w:rPr>
        <w:t>注：具体投标文件编制教程查看苏采云系统中的客户端使用说明和供应商《操作手册》。</w:t>
      </w:r>
    </w:p>
    <w:p w14:paraId="52AB999A">
      <w:pPr>
        <w:pStyle w:val="6"/>
        <w:keepNext w:val="0"/>
        <w:keepLines w:val="0"/>
        <w:pageBreakBefore w:val="0"/>
        <w:kinsoku/>
        <w:wordWrap/>
        <w:overflowPunct/>
        <w:topLinePunct w:val="0"/>
        <w:autoSpaceDE/>
        <w:autoSpaceDN/>
        <w:bidi w:val="0"/>
        <w:spacing w:line="440" w:lineRule="exact"/>
        <w:ind w:left="0" w:firstLine="84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（5）磋商过程中如有问题采购代理机构工作人员会及时</w:t>
      </w:r>
      <w:r>
        <w:rPr>
          <w:rFonts w:hint="eastAsia" w:ascii="宋体" w:hAnsi="宋体" w:eastAsia="宋体" w:cs="宋体"/>
          <w:b/>
          <w:color w:val="auto"/>
          <w:sz w:val="21"/>
          <w:szCs w:val="21"/>
          <w:highlight w:val="none"/>
          <w:lang w:val="en-US" w:eastAsia="zh-CN"/>
        </w:rPr>
        <w:t>通知</w:t>
      </w:r>
      <w:r>
        <w:rPr>
          <w:rFonts w:hint="eastAsia" w:ascii="宋体" w:hAnsi="宋体" w:eastAsia="宋体" w:cs="宋体"/>
          <w:b/>
          <w:color w:val="auto"/>
          <w:sz w:val="21"/>
          <w:szCs w:val="21"/>
          <w:highlight w:val="none"/>
        </w:rPr>
        <w:t>《投标供应商确认函》留存的手机号与供应商联系。请供应商确保该手机号磋商当日通讯畅通，否则导致的对供应商不利的后果由供应商自行承担。</w:t>
      </w:r>
    </w:p>
    <w:p w14:paraId="4BDD80D0">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p>
    <w:p w14:paraId="16D00893">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8.响应文件的解密与评审</w:t>
      </w:r>
    </w:p>
    <w:p w14:paraId="6200CA85">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8.1采购代理机构按本须知规定的时间、地点主持磋商采购活动。</w:t>
      </w:r>
    </w:p>
    <w:p w14:paraId="1E51566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8.2供应商通过“苏采云”系统在线参与磋商活动。供应商应当按照《苏采云系统供应商操作手册》规定在 “苏采云”系统规定的时间内对响应文件进行解密。</w:t>
      </w:r>
    </w:p>
    <w:p w14:paraId="49E52F5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8.3在磋商响应文件网上递交截止时间止成功解密的磋商供应商少于三家，则本次采购失败。</w:t>
      </w:r>
    </w:p>
    <w:p w14:paraId="003B58E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8.4由磋商小组审查供应商解密的响应文件。</w:t>
      </w:r>
    </w:p>
    <w:p w14:paraId="049109B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04942441">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磋商小组并非对每个供应商都作澄清要求。</w:t>
      </w:r>
    </w:p>
    <w:p w14:paraId="4065C68B">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8.6磋商小组要求供应商澄清、说明或者更正响应文件应当以书面形式做出。供应商的澄清、说明或者更正应当由其单位加盖电子公章。</w:t>
      </w:r>
    </w:p>
    <w:p w14:paraId="72B0F5C8">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0EE547A0">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8.7对响应文件的审查</w:t>
      </w:r>
    </w:p>
    <w:p w14:paraId="20C53E3A">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8.7.1响应文件审查分为资格审查和符合性审查。</w:t>
      </w:r>
    </w:p>
    <w:p w14:paraId="2177ADEB">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8.7.1.1 资格审查：由磋商小组依据法律法规和磋商文件的规定，对响应文件中的资格证明文件进行审查，以确定供应商是否具备参加磋商的资格。</w:t>
      </w:r>
    </w:p>
    <w:p w14:paraId="464814E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磋商小组在进行资格审查的同时，将在“信用中国”网站（www.creditchina.gov.cn）查询供应商的信用记录，以确定供应商是否具备磋商资格，查询结果留存并归档。</w:t>
      </w:r>
    </w:p>
    <w:p w14:paraId="109EDBFD">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6F9C29E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8.7.1.2 符合性审查：依据磋商文件的规定，由磋商小组从响应文件的有效性、完整性和对磋商文件的响应程度进行审查，以确定是否对磋商文件的实质性要求作出响应。</w:t>
      </w:r>
    </w:p>
    <w:p w14:paraId="32193E6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8.7.1.3 未通过资格审查或符合性审查的供应商，磋商小组将在苏采云系统中告知未通过资格审查或符合性审查的原因，评审结束后，磋商小组将不再告知未通过资格审查或符合性审查的原因。</w:t>
      </w:r>
    </w:p>
    <w:p w14:paraId="062ECFCA">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8.7.2在详细评审之前，磋商小组将首先审查每份响应文件是否实质性响应了磋商文件的要求。实质性响应的响应文件应该是与磋商文件要求的条款、条件和规格相符，没有重大偏离或保留。</w:t>
      </w:r>
    </w:p>
    <w:p w14:paraId="5CF82FBC">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9D27D3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对于通过资格审查和符合性审查的供应商，磋商小组所有成员集中与单一供应商分别进行磋商，并给予所有参加磋商的供应商平等的磋商机会。</w:t>
      </w:r>
      <w:r>
        <w:rPr>
          <w:rFonts w:hint="eastAsia" w:ascii="宋体" w:hAnsi="宋体" w:eastAsia="宋体" w:cs="宋体"/>
          <w:b/>
          <w:bCs w:val="0"/>
          <w:color w:val="auto"/>
          <w:sz w:val="21"/>
          <w:szCs w:val="21"/>
          <w:highlight w:val="none"/>
          <w:lang w:val="en-US" w:eastAsia="zh-CN"/>
        </w:rPr>
        <w:t>磋商小组通过“苏采云”系统向供应商发布“磋商函”，供应商应当按照要求在“苏采云”系统提交“磋商响应函”并加盖CA电子公章。</w:t>
      </w:r>
    </w:p>
    <w:p w14:paraId="510B992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61344D2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7E4CB4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1634A5FE">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25DAB5D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磋商结束后，磋商小组将在“苏采云”系统向所有实质性响应的供应商发布“最后报价要求函”及最后报价格式表，要求所有实质性响应的供应商在规定时间内提交最后报价。</w:t>
      </w:r>
    </w:p>
    <w:p w14:paraId="20517778">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15E5F6F6">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t>已提交响应文件的供应商，在提交最后报价之前，可以根据磋商情况退出磋商，并在“苏采云”系统中提交“退出磋商函”并加盖CA电子公章。</w:t>
      </w:r>
    </w:p>
    <w:p w14:paraId="5A1627F7">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*进入项目评审流程后，建议各供应商法定代表人或授权委托人始终保持通讯顺畅，时刻关注不见面开标大厅，不离开不见面开标大厅。</w:t>
      </w:r>
    </w:p>
    <w:p w14:paraId="664131EC">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8.11经磋商确定最终采购需求和提交最后报价的供应商后，由磋商小组采用综合评分法对提交最后报价的供应商的响应文件和最后报价进行综合评分。</w:t>
      </w:r>
    </w:p>
    <w:p w14:paraId="5A5185E5">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8.12磋商小组根据磋商成交原则确定成交供应商，并将结果通知所有参加磋商的供应商。</w:t>
      </w:r>
    </w:p>
    <w:p w14:paraId="4122C4B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8.13评审过程的保密与公正</w:t>
      </w:r>
    </w:p>
    <w:p w14:paraId="6A32F2C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8.13.1磋商小组、采购人和代理公司工作人员、相关监督人员等与评审工作有关的人员，对评审情况以及在评审过程中获悉的国家秘密、商业秘密负有保密责任。</w:t>
      </w:r>
    </w:p>
    <w:p w14:paraId="1AE9AC8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8.13.2在评审过程中，供应商不得以任何行为影响磋商评审过程，否则其响应文件将被作为无效响应文件。</w:t>
      </w:r>
    </w:p>
    <w:p w14:paraId="11A0F65E">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8.13.3在项目评审期间，代理公司将设专门人员与供应商联系。</w:t>
      </w:r>
    </w:p>
    <w:p w14:paraId="307755EC">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8.13.4 代理公司和磋商小组不向未成交的供应商解释未成交原因，也不公布评审过程中的相关细节。</w:t>
      </w:r>
    </w:p>
    <w:p w14:paraId="18DD2204">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8.14如磋商过程中出现本采购文件未尽事宜，由磋商小组根据政府采购有关法律、法规讨论决定。</w:t>
      </w:r>
    </w:p>
    <w:p w14:paraId="7A12892C">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w:t>
      </w:r>
    </w:p>
    <w:p w14:paraId="70E7E85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9.未实质性响应磋商文件的情形</w:t>
      </w:r>
    </w:p>
    <w:p w14:paraId="058FB92E">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9.1供应商在苏采云系统规定的时间内未成功解密电子响应文件的。</w:t>
      </w:r>
    </w:p>
    <w:p w14:paraId="3D39FE3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9.2供应商未按照磋商文件要求上传电子响应文件的。</w:t>
      </w:r>
    </w:p>
    <w:p w14:paraId="26EA5D0B">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9.3同一供应商提交两个（含两个）以上不同的响应文件或者最后报价的。</w:t>
      </w:r>
    </w:p>
    <w:p w14:paraId="241ED5D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9.4供应商不具备磋商文件中规定资格要求的。</w:t>
      </w:r>
    </w:p>
    <w:p w14:paraId="58FF284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9.5供应商的报价超过了采购预算或最高限价。</w:t>
      </w:r>
    </w:p>
    <w:p w14:paraId="48672260">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9.6不符合磋商文件中规定的实质性要求和条件的。</w:t>
      </w:r>
    </w:p>
    <w:p w14:paraId="08DB2E6A">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6147910">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9.8响应文件含有采购人不能接受的附加条件的。</w:t>
      </w:r>
    </w:p>
    <w:p w14:paraId="15D50FE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2511325">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9.10响应文件未按照磋商文件要求加盖CA电子公章或签署的。</w:t>
      </w:r>
    </w:p>
    <w:p w14:paraId="52A48DB4">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9.11法律、法规和招标文件规定的其他无效情形。</w:t>
      </w:r>
    </w:p>
    <w:p w14:paraId="09674843">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9.12未实质性响应磋商文件的响应文件按无效响应处理。</w:t>
      </w:r>
    </w:p>
    <w:p w14:paraId="626CBDF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注：</w:t>
      </w:r>
    </w:p>
    <w:p w14:paraId="495846EE">
      <w:pPr>
        <w:pStyle w:val="6"/>
        <w:keepNext w:val="0"/>
        <w:keepLines w:val="0"/>
        <w:pageBreakBefore w:val="0"/>
        <w:numPr>
          <w:ilvl w:val="0"/>
          <w:numId w:val="0"/>
        </w:numPr>
        <w:kinsoku/>
        <w:wordWrap/>
        <w:overflowPunct/>
        <w:topLinePunct w:val="0"/>
        <w:autoSpaceDE/>
        <w:autoSpaceDN/>
        <w:bidi w:val="0"/>
        <w:spacing w:line="440" w:lineRule="exact"/>
        <w:ind w:left="0" w:leftChars="0"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①如果响应文件实质上未响应磋商文件的要求，磋商小组将予以拒绝。对于此类文件中不合要求的偏离或保留，供应商不得通过修改或撤销相关内容使其成为实质性响应的文件。</w:t>
      </w:r>
    </w:p>
    <w:p w14:paraId="621CF6D6">
      <w:pPr>
        <w:pStyle w:val="6"/>
        <w:keepNext w:val="0"/>
        <w:keepLines w:val="0"/>
        <w:pageBreakBefore w:val="0"/>
        <w:numPr>
          <w:ilvl w:val="0"/>
          <w:numId w:val="0"/>
        </w:numPr>
        <w:kinsoku/>
        <w:wordWrap/>
        <w:overflowPunct/>
        <w:topLinePunct w:val="0"/>
        <w:autoSpaceDE/>
        <w:autoSpaceDN/>
        <w:bidi w:val="0"/>
        <w:spacing w:line="440" w:lineRule="exact"/>
        <w:ind w:left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②供应商在项目评审全过程中应保持通讯畅通，并安排专人与代理公司及磋商小组联系。</w:t>
      </w:r>
    </w:p>
    <w:p w14:paraId="4BDFA314">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w:t>
      </w:r>
    </w:p>
    <w:p w14:paraId="45A93375">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10.项目的终止</w:t>
      </w:r>
    </w:p>
    <w:p w14:paraId="0C9084D9">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10.1出现下列情形之一的，本次竞争性磋商采购活动将被终止：</w:t>
      </w:r>
    </w:p>
    <w:p w14:paraId="0812209D">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10.1.1因情况变化，不再符合规定的竞争性磋商采购方式适用情形的。</w:t>
      </w:r>
    </w:p>
    <w:p w14:paraId="62C4BE25">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10.1.2出现影响采购公正的违法、违规行为的。</w:t>
      </w:r>
    </w:p>
    <w:p w14:paraId="0262871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10.1.3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p>
    <w:p w14:paraId="6D038EA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10.1.4在苏采云系统规定时间内成功解密电子响应文件的供应商不足3家的。</w:t>
      </w:r>
    </w:p>
    <w:p w14:paraId="31FCE45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10.1.5供应商的报价均超过了采购预算，采购人不能支付的； </w:t>
      </w:r>
    </w:p>
    <w:p w14:paraId="2D4B875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10.1.6因重大变故，采购任务取消的。</w:t>
      </w:r>
    </w:p>
    <w:p w14:paraId="686A45D0">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10.2供应商应当遵循公平竞争的原则，不得恶意串通，不得妨碍其他供应商的竞争行为，不得损害采购人或者其他供应商的合法权益。</w:t>
      </w:r>
    </w:p>
    <w:p w14:paraId="1610DDFE">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10.3在评审过程中发现供应商有下述情形的，磋商小组应当认定其响应无效，并书面报告本级财政部门。</w:t>
      </w:r>
    </w:p>
    <w:p w14:paraId="59C60983">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10.4有下列情形之一的，视为供应商串通投标，其响应无效：</w:t>
      </w:r>
    </w:p>
    <w:p w14:paraId="0067412D">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10.4.1不同供应商的响应文件由同一单位或者个人编制；</w:t>
      </w:r>
    </w:p>
    <w:p w14:paraId="5BE5CE9A">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10.4.2不同供应商委托同一单位或者个人办理投标事宜；</w:t>
      </w:r>
    </w:p>
    <w:p w14:paraId="4FB7C2F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10.4.3不同供应商的响应文件载明的项目管理成员或者联系人员为同一人；</w:t>
      </w:r>
    </w:p>
    <w:p w14:paraId="6FBF8FA8">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10.4.4不同供应商的响应文件异常一致或者报价呈规律性差异；</w:t>
      </w:r>
    </w:p>
    <w:p w14:paraId="191CC3B0">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10.4.5不同供应商的响应文件相互混装。</w:t>
      </w:r>
    </w:p>
    <w:p w14:paraId="3A7F821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w:t>
      </w:r>
    </w:p>
    <w:p w14:paraId="7A473A6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11.成交</w:t>
      </w:r>
    </w:p>
    <w:p w14:paraId="25F5E0DA">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11.1确定成交单位</w:t>
      </w:r>
    </w:p>
    <w:p w14:paraId="1CFB01EA">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11.1.1磋商小组根据磋商成交原则确定成交供应商，并将结果通知所有参加磋商的供应商。</w:t>
      </w:r>
    </w:p>
    <w:p w14:paraId="76A0C99E">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11.2若有充分证据证明，成交供应商出现下列情况之一的，一经查实，将被取消成交资格：</w:t>
      </w:r>
    </w:p>
    <w:p w14:paraId="6DFF8C7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11.2.1提供虚假材料谋取成交的。</w:t>
      </w:r>
    </w:p>
    <w:p w14:paraId="22816383">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11.2.2与评审专家、采购人、其他供应商或者代理公司工作人员恶意串通的。</w:t>
      </w:r>
    </w:p>
    <w:p w14:paraId="7FE1ED8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11.2.3向评审专家、采购人或代理公司工作人员行贿或者提供其他不正当利益的。</w:t>
      </w:r>
    </w:p>
    <w:p w14:paraId="71DA435B">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11.2.4恶意竞争，最后报价明显低于其自身合理成本且又无法提供证明的。</w:t>
      </w:r>
    </w:p>
    <w:p w14:paraId="4D7BE5E5">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11.2.5不满足本磋商文件规定的实质性要求，但在评审过程中又未被磋商小组发现的。</w:t>
      </w:r>
    </w:p>
    <w:p w14:paraId="471A4324">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11.2.6成交后无正当理由拒不与采购人签订政府采购合同或者未按照磋商文件确定的事项签订政府采购合同的。</w:t>
      </w:r>
    </w:p>
    <w:p w14:paraId="0E281D6C">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11.2.7将政府采购合同转包的。</w:t>
      </w:r>
    </w:p>
    <w:p w14:paraId="6A47B860">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color w:val="auto"/>
          <w:sz w:val="21"/>
          <w:szCs w:val="21"/>
          <w:highlight w:val="none"/>
        </w:rPr>
      </w:pPr>
    </w:p>
    <w:p w14:paraId="6D16108E">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12.</w:t>
      </w:r>
      <w:r>
        <w:rPr>
          <w:rFonts w:hint="eastAsia" w:ascii="宋体" w:hAnsi="宋体" w:eastAsia="宋体" w:cs="宋体"/>
          <w:b/>
          <w:color w:val="auto"/>
          <w:sz w:val="21"/>
          <w:szCs w:val="21"/>
          <w:highlight w:val="none"/>
        </w:rPr>
        <w:t>质疑处理</w:t>
      </w:r>
    </w:p>
    <w:p w14:paraId="3FD0B809">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12.1</w:t>
      </w:r>
      <w:r>
        <w:rPr>
          <w:rFonts w:hint="eastAsia" w:ascii="宋体" w:hAnsi="宋体" w:eastAsia="宋体" w:cs="宋体"/>
          <w:color w:val="auto"/>
          <w:sz w:val="21"/>
          <w:szCs w:val="21"/>
          <w:highlight w:val="none"/>
        </w:rPr>
        <w:t>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p>
    <w:p w14:paraId="04B49444">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w:t>
      </w:r>
      <w:r>
        <w:rPr>
          <w:rFonts w:hint="eastAsia" w:ascii="宋体" w:hAnsi="宋体" w:eastAsia="宋体" w:cs="宋体"/>
          <w:color w:val="auto"/>
          <w:sz w:val="21"/>
          <w:szCs w:val="21"/>
          <w:highlight w:val="none"/>
        </w:rPr>
        <w:t>本次采购文件要求供应商在法定质疑期内一次性提出针对同一采购程序环节的质疑，否则不予受理。</w:t>
      </w:r>
    </w:p>
    <w:p w14:paraId="2F036EB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w:t>
      </w:r>
      <w:r>
        <w:rPr>
          <w:rFonts w:hint="eastAsia" w:ascii="宋体" w:hAnsi="宋体" w:eastAsia="宋体" w:cs="宋体"/>
          <w:color w:val="auto"/>
          <w:sz w:val="21"/>
          <w:szCs w:val="21"/>
          <w:highlight w:val="none"/>
        </w:rPr>
        <w:t>供应商提出质疑应当提交质疑函和必要的证明材料，质疑函应当包括下列内容：</w:t>
      </w:r>
    </w:p>
    <w:p w14:paraId="751660E9">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12.3.1</w:t>
      </w:r>
      <w:r>
        <w:rPr>
          <w:rFonts w:hint="eastAsia" w:ascii="宋体" w:hAnsi="宋体" w:eastAsia="宋体" w:cs="宋体"/>
          <w:color w:val="auto"/>
          <w:sz w:val="21"/>
          <w:szCs w:val="21"/>
          <w:highlight w:val="none"/>
        </w:rPr>
        <w:t>供应商的姓名或者名称（以提供的营业执照副本复印件为准）、地址、邮编、联系人及联系电话；</w:t>
      </w:r>
    </w:p>
    <w:p w14:paraId="25E9F80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12.3.2</w:t>
      </w:r>
      <w:r>
        <w:rPr>
          <w:rFonts w:hint="eastAsia" w:ascii="宋体" w:hAnsi="宋体" w:eastAsia="宋体" w:cs="宋体"/>
          <w:color w:val="auto"/>
          <w:sz w:val="21"/>
          <w:szCs w:val="21"/>
          <w:highlight w:val="none"/>
        </w:rPr>
        <w:t>质疑项目的名称、编号；</w:t>
      </w:r>
    </w:p>
    <w:p w14:paraId="4DD91EE3">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12.3.3</w:t>
      </w:r>
      <w:r>
        <w:rPr>
          <w:rFonts w:hint="eastAsia" w:ascii="宋体" w:hAnsi="宋体" w:eastAsia="宋体" w:cs="宋体"/>
          <w:color w:val="auto"/>
          <w:sz w:val="21"/>
          <w:szCs w:val="21"/>
          <w:highlight w:val="none"/>
        </w:rPr>
        <w:t>具体、明确的质疑事项和与质疑事项相关的请求；</w:t>
      </w:r>
    </w:p>
    <w:p w14:paraId="1EC880C1">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12.3.4</w:t>
      </w:r>
      <w:r>
        <w:rPr>
          <w:rFonts w:hint="eastAsia" w:ascii="宋体" w:hAnsi="宋体" w:eastAsia="宋体" w:cs="宋体"/>
          <w:color w:val="auto"/>
          <w:sz w:val="21"/>
          <w:szCs w:val="21"/>
          <w:highlight w:val="none"/>
        </w:rPr>
        <w:t>事实依据；</w:t>
      </w:r>
    </w:p>
    <w:p w14:paraId="31D8F53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12.3.5</w:t>
      </w:r>
      <w:r>
        <w:rPr>
          <w:rFonts w:hint="eastAsia" w:ascii="宋体" w:hAnsi="宋体" w:eastAsia="宋体" w:cs="宋体"/>
          <w:color w:val="auto"/>
          <w:sz w:val="21"/>
          <w:szCs w:val="21"/>
          <w:highlight w:val="none"/>
        </w:rPr>
        <w:t>必要的法律依据；</w:t>
      </w:r>
    </w:p>
    <w:p w14:paraId="61160A4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12.3.6</w:t>
      </w:r>
      <w:r>
        <w:rPr>
          <w:rFonts w:hint="eastAsia" w:ascii="宋体" w:hAnsi="宋体" w:eastAsia="宋体" w:cs="宋体"/>
          <w:color w:val="auto"/>
          <w:sz w:val="21"/>
          <w:szCs w:val="21"/>
          <w:highlight w:val="none"/>
        </w:rPr>
        <w:t>提出质疑的日期。</w:t>
      </w:r>
    </w:p>
    <w:p w14:paraId="334325E8">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授权委托书</w:t>
      </w:r>
      <w:r>
        <w:rPr>
          <w:rFonts w:hint="eastAsia" w:ascii="宋体" w:hAnsi="宋体" w:eastAsia="宋体" w:cs="宋体"/>
          <w:color w:val="auto"/>
          <w:sz w:val="21"/>
          <w:szCs w:val="21"/>
          <w:highlight w:val="none"/>
        </w:rPr>
        <w:t>上应当载明代理人的姓名或者名称、代理事项、具体权限、期限和相关事项。</w:t>
      </w:r>
    </w:p>
    <w:p w14:paraId="26BEDCCC">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rPr>
        <w:t>。</w:t>
      </w:r>
    </w:p>
    <w:p w14:paraId="213C0DFE">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12.4</w:t>
      </w:r>
      <w:r>
        <w:rPr>
          <w:rFonts w:hint="eastAsia" w:ascii="宋体" w:hAnsi="宋体" w:eastAsia="宋体" w:cs="宋体"/>
          <w:color w:val="auto"/>
          <w:sz w:val="21"/>
          <w:szCs w:val="21"/>
          <w:highlight w:val="none"/>
        </w:rPr>
        <w:t>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z w:val="21"/>
          <w:szCs w:val="21"/>
          <w:highlight w:val="none"/>
        </w:rPr>
        <w:t>《投标供应商确认函》</w:t>
      </w:r>
      <w:r>
        <w:rPr>
          <w:rFonts w:hint="eastAsia" w:ascii="宋体" w:hAnsi="宋体" w:eastAsia="宋体" w:cs="宋体"/>
          <w:color w:val="auto"/>
          <w:sz w:val="21"/>
          <w:szCs w:val="21"/>
          <w:highlight w:val="none"/>
        </w:rPr>
        <w:t>）与质疑函一起递交，否则不予受理。</w:t>
      </w:r>
    </w:p>
    <w:p w14:paraId="7D89B051">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12.5</w:t>
      </w:r>
      <w:r>
        <w:rPr>
          <w:rFonts w:hint="eastAsia" w:ascii="宋体" w:hAnsi="宋体" w:eastAsia="宋体" w:cs="宋体"/>
          <w:color w:val="auto"/>
          <w:sz w:val="21"/>
          <w:szCs w:val="21"/>
          <w:highlight w:val="none"/>
        </w:rPr>
        <w:t>接收质疑函的方式：书面形式（当场送达或邮寄方式）</w:t>
      </w:r>
    </w:p>
    <w:p w14:paraId="6CDEF37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质疑联系人：</w:t>
      </w:r>
      <w:r>
        <w:rPr>
          <w:rFonts w:hint="eastAsia" w:ascii="宋体" w:hAnsi="宋体" w:eastAsia="宋体" w:cs="宋体"/>
          <w:color w:val="auto"/>
          <w:sz w:val="21"/>
          <w:szCs w:val="21"/>
          <w:highlight w:val="none"/>
          <w:lang w:val="en-US" w:eastAsia="zh-CN"/>
        </w:rPr>
        <w:t>王晓品</w:t>
      </w:r>
    </w:p>
    <w:p w14:paraId="57A6D1BC">
      <w:pPr>
        <w:pStyle w:val="6"/>
        <w:keepNext w:val="0"/>
        <w:keepLines w:val="0"/>
        <w:pageBreakBefore w:val="0"/>
        <w:kinsoku/>
        <w:wordWrap/>
        <w:overflowPunct/>
        <w:topLinePunct w:val="0"/>
        <w:autoSpaceDE/>
        <w:autoSpaceDN/>
        <w:bidi w:val="0"/>
        <w:spacing w:line="440" w:lineRule="exact"/>
        <w:ind w:left="0"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联系电话：0512-</w:t>
      </w:r>
      <w:r>
        <w:rPr>
          <w:rFonts w:hint="eastAsia" w:ascii="宋体" w:hAnsi="宋体" w:eastAsia="宋体" w:cs="宋体"/>
          <w:color w:val="auto"/>
          <w:sz w:val="21"/>
          <w:szCs w:val="21"/>
          <w:highlight w:val="none"/>
          <w:lang w:val="en-US" w:eastAsia="zh-CN"/>
        </w:rPr>
        <w:t>63092799</w:t>
      </w:r>
    </w:p>
    <w:p w14:paraId="7746311D">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现场递交地址：苏州市吴江区江陵街道吴江汽车客运站北侧二楼</w:t>
      </w:r>
    </w:p>
    <w:p w14:paraId="39A8F489">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邮寄收取地址：苏州市吴江区江陵街道吴江汽车客运站北侧二楼</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鼎力招投标</w:t>
      </w:r>
      <w:r>
        <w:rPr>
          <w:rFonts w:hint="eastAsia" w:ascii="宋体" w:hAnsi="宋体" w:eastAsia="宋体" w:cs="宋体"/>
          <w:color w:val="auto"/>
          <w:sz w:val="21"/>
          <w:szCs w:val="21"/>
          <w:highlight w:val="none"/>
          <w:lang w:eastAsia="zh-CN"/>
        </w:rPr>
        <w:t>）</w:t>
      </w:r>
    </w:p>
    <w:p w14:paraId="70A6429A">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p>
    <w:p w14:paraId="0837DCB7">
      <w:pPr>
        <w:pStyle w:val="6"/>
        <w:overflowPunct w:val="0"/>
        <w:spacing w:line="400" w:lineRule="exact"/>
        <w:ind w:firstLineChars="20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eastAsia="zh-CN"/>
        </w:rPr>
        <w:t>1</w:t>
      </w:r>
      <w:r>
        <w:rPr>
          <w:rFonts w:hint="eastAsia" w:ascii="宋体" w:hAnsi="宋体" w:eastAsia="宋体"/>
          <w:b/>
          <w:bCs/>
          <w:color w:val="auto"/>
          <w:sz w:val="21"/>
          <w:szCs w:val="21"/>
          <w:highlight w:val="none"/>
          <w:lang w:val="en-US" w:eastAsia="zh-CN"/>
        </w:rPr>
        <w:t>3</w:t>
      </w:r>
      <w:r>
        <w:rPr>
          <w:rFonts w:hint="eastAsia" w:ascii="宋体" w:hAnsi="宋体" w:eastAsia="宋体"/>
          <w:b/>
          <w:bCs/>
          <w:color w:val="auto"/>
          <w:sz w:val="21"/>
          <w:szCs w:val="21"/>
          <w:highlight w:val="none"/>
          <w:lang w:eastAsia="zh-CN"/>
        </w:rPr>
        <w:t>.</w:t>
      </w:r>
      <w:r>
        <w:rPr>
          <w:rFonts w:hint="eastAsia" w:ascii="宋体" w:hAnsi="宋体" w:eastAsia="宋体"/>
          <w:b/>
          <w:bCs/>
          <w:color w:val="auto"/>
          <w:sz w:val="21"/>
          <w:szCs w:val="21"/>
          <w:highlight w:val="none"/>
        </w:rPr>
        <w:t>响应无效和终止磋商活动条款</w:t>
      </w:r>
    </w:p>
    <w:p w14:paraId="7F0F824C">
      <w:pPr>
        <w:pStyle w:val="6"/>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w:t>
      </w:r>
      <w:r>
        <w:rPr>
          <w:rFonts w:hint="eastAsia" w:ascii="宋体" w:hAnsi="宋体" w:eastAsia="宋体"/>
          <w:color w:val="auto"/>
          <w:sz w:val="21"/>
          <w:szCs w:val="21"/>
          <w:highlight w:val="none"/>
        </w:rPr>
        <w:t>响应人存在下列情况之一的，响应无效:</w:t>
      </w:r>
    </w:p>
    <w:p w14:paraId="071C9D71">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1.1</w:t>
      </w:r>
      <w:r>
        <w:rPr>
          <w:rFonts w:hint="eastAsia" w:ascii="宋体" w:hAnsi="宋体" w:eastAsia="宋体"/>
          <w:color w:val="auto"/>
          <w:sz w:val="21"/>
          <w:szCs w:val="21"/>
          <w:highlight w:val="none"/>
        </w:rPr>
        <w:t>未按照竞争性磋商文件规定要求签署、盖章的；</w:t>
      </w:r>
    </w:p>
    <w:p w14:paraId="077354AB">
      <w:pPr>
        <w:pStyle w:val="6"/>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1.2</w:t>
      </w:r>
      <w:r>
        <w:rPr>
          <w:rFonts w:hint="eastAsia" w:ascii="宋体" w:hAnsi="宋体" w:eastAsia="宋体"/>
          <w:color w:val="auto"/>
          <w:sz w:val="21"/>
          <w:szCs w:val="21"/>
          <w:highlight w:val="none"/>
        </w:rPr>
        <w:t>供应商不具备竞争性磋商文件中规定资格条件的；</w:t>
      </w:r>
    </w:p>
    <w:p w14:paraId="2178F150">
      <w:pPr>
        <w:pStyle w:val="6"/>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1.3</w:t>
      </w:r>
      <w:r>
        <w:rPr>
          <w:rFonts w:hint="eastAsia" w:ascii="宋体" w:hAnsi="宋体" w:eastAsia="宋体"/>
          <w:color w:val="auto"/>
          <w:sz w:val="21"/>
          <w:szCs w:val="21"/>
          <w:highlight w:val="none"/>
        </w:rPr>
        <w:t>报价超过磋商文件中规定的预算金额或者最高限价的；</w:t>
      </w:r>
    </w:p>
    <w:p w14:paraId="1DB10EBA">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1.4</w:t>
      </w:r>
      <w:r>
        <w:rPr>
          <w:rFonts w:hint="eastAsia" w:ascii="宋体" w:hAnsi="宋体" w:eastAsia="宋体"/>
          <w:color w:val="auto"/>
          <w:sz w:val="21"/>
          <w:szCs w:val="21"/>
          <w:highlight w:val="none"/>
        </w:rPr>
        <w:t>响应文件含有采购人不能接受的附加条件；</w:t>
      </w:r>
    </w:p>
    <w:p w14:paraId="611289C4">
      <w:pPr>
        <w:pStyle w:val="78"/>
        <w:snapToGrid w:val="0"/>
        <w:spacing w:line="400" w:lineRule="exact"/>
        <w:ind w:firstLine="420" w:firstLineChars="200"/>
        <w:rPr>
          <w:rFonts w:hint="eastAsia" w:ascii="宋体" w:hAnsi="宋体" w:cs="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w:t>
      </w:r>
      <w:r>
        <w:rPr>
          <w:rFonts w:hint="eastAsia" w:ascii="宋体" w:hAnsi="宋体"/>
          <w:color w:val="auto"/>
          <w:sz w:val="21"/>
          <w:szCs w:val="21"/>
          <w:highlight w:val="none"/>
          <w:lang w:val="en-US" w:eastAsia="zh-CN"/>
        </w:rPr>
        <w:t>5</w:t>
      </w:r>
      <w:r>
        <w:rPr>
          <w:rFonts w:hint="eastAsia" w:ascii="宋体" w:hAnsi="宋体" w:cs="宋体"/>
          <w:color w:val="auto"/>
          <w:sz w:val="21"/>
          <w:szCs w:val="21"/>
          <w:highlight w:val="none"/>
        </w:rPr>
        <w:t>因磋商响应单位自身原因导致网上磋商响应文件无法递交的其他情况；</w:t>
      </w:r>
    </w:p>
    <w:p w14:paraId="2040CD64">
      <w:pPr>
        <w:pStyle w:val="6"/>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1.6</w:t>
      </w:r>
      <w:r>
        <w:rPr>
          <w:rFonts w:hint="eastAsia" w:ascii="宋体" w:hAnsi="宋体" w:eastAsia="宋体"/>
          <w:color w:val="auto"/>
          <w:sz w:val="21"/>
          <w:szCs w:val="21"/>
          <w:highlight w:val="none"/>
        </w:rPr>
        <w:t>不符合法律、法规和竞争性磋商文件中规定的其他实质性要求的；</w:t>
      </w:r>
    </w:p>
    <w:p w14:paraId="0DC07A3B">
      <w:pPr>
        <w:pStyle w:val="6"/>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1.7</w:t>
      </w:r>
      <w:r>
        <w:rPr>
          <w:rFonts w:hint="eastAsia" w:ascii="宋体" w:hAnsi="宋体" w:eastAsia="宋体"/>
          <w:color w:val="auto"/>
          <w:sz w:val="21"/>
          <w:szCs w:val="21"/>
          <w:highlight w:val="none"/>
        </w:rPr>
        <w:t>法律、法规及本竞争性磋商文件规定的其他无效的情形。</w:t>
      </w:r>
    </w:p>
    <w:p w14:paraId="69CCEB28">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13.</w:t>
      </w:r>
      <w:r>
        <w:rPr>
          <w:rFonts w:ascii="宋体" w:hAnsi="宋体" w:eastAsia="宋体"/>
          <w:color w:val="auto"/>
          <w:sz w:val="21"/>
          <w:szCs w:val="21"/>
          <w:highlight w:val="none"/>
        </w:rPr>
        <w:t>2</w:t>
      </w:r>
      <w:r>
        <w:rPr>
          <w:rFonts w:hint="eastAsia" w:ascii="宋体" w:hAnsi="宋体" w:eastAsia="宋体"/>
          <w:color w:val="auto"/>
          <w:sz w:val="21"/>
          <w:szCs w:val="21"/>
          <w:highlight w:val="none"/>
        </w:rPr>
        <w:t>响应人应当遵循公平竞争的原则，不得恶意串通，不得妨碍其他响应人的竞争行为，不得损害采购人或者其他响应人的合法权益。</w:t>
      </w:r>
    </w:p>
    <w:p w14:paraId="1D102B97">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磋商在过程中发现响应人有上述情形的，磋商小组应当认定其响应无效，并书面报告本级财政部门。</w:t>
      </w:r>
    </w:p>
    <w:p w14:paraId="5979CD19">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w:t>
      </w:r>
      <w:r>
        <w:rPr>
          <w:rFonts w:hint="eastAsia" w:ascii="宋体" w:hAnsi="宋体" w:eastAsia="宋体"/>
          <w:color w:val="auto"/>
          <w:sz w:val="21"/>
          <w:szCs w:val="21"/>
          <w:highlight w:val="none"/>
        </w:rPr>
        <w:t>有下列情形之一的，视为响应人恶意串通，其响应无效：</w:t>
      </w:r>
    </w:p>
    <w:p w14:paraId="4E0B01E1">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3.3.1</w:t>
      </w:r>
      <w:r>
        <w:rPr>
          <w:rFonts w:hint="eastAsia" w:ascii="宋体" w:hAnsi="宋体" w:eastAsia="宋体"/>
          <w:color w:val="auto"/>
          <w:sz w:val="21"/>
          <w:szCs w:val="21"/>
          <w:highlight w:val="none"/>
        </w:rPr>
        <w:t>不同响应人的响应文件由同一单位或者个人编制；</w:t>
      </w:r>
    </w:p>
    <w:p w14:paraId="7FB51145">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3.3.2</w:t>
      </w:r>
      <w:r>
        <w:rPr>
          <w:rFonts w:hint="eastAsia" w:ascii="宋体" w:hAnsi="宋体" w:eastAsia="宋体"/>
          <w:color w:val="auto"/>
          <w:sz w:val="21"/>
          <w:szCs w:val="21"/>
          <w:highlight w:val="none"/>
        </w:rPr>
        <w:t>不同响应人委托同一单位或者个人办理磋商事宜；</w:t>
      </w:r>
    </w:p>
    <w:p w14:paraId="79938E65">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3.3.3</w:t>
      </w:r>
      <w:r>
        <w:rPr>
          <w:rFonts w:hint="eastAsia" w:ascii="宋体" w:hAnsi="宋体" w:eastAsia="宋体"/>
          <w:color w:val="auto"/>
          <w:sz w:val="21"/>
          <w:szCs w:val="21"/>
          <w:highlight w:val="none"/>
        </w:rPr>
        <w:t>不同响应人的响应文件载明的项目管理成员或者联系人员为同一人；</w:t>
      </w:r>
    </w:p>
    <w:p w14:paraId="5E758E3B">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3.3.4</w:t>
      </w:r>
      <w:r>
        <w:rPr>
          <w:rFonts w:hint="eastAsia" w:ascii="宋体" w:hAnsi="宋体" w:eastAsia="宋体"/>
          <w:color w:val="auto"/>
          <w:sz w:val="21"/>
          <w:szCs w:val="21"/>
          <w:highlight w:val="none"/>
        </w:rPr>
        <w:t>不同响应人的响应文件异常一致或者报价呈规律性差异；</w:t>
      </w:r>
    </w:p>
    <w:p w14:paraId="19266C23">
      <w:pPr>
        <w:pStyle w:val="6"/>
        <w:overflowPunct w:val="0"/>
        <w:spacing w:line="400" w:lineRule="exact"/>
        <w:ind w:firstLineChars="20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3.3.5</w:t>
      </w:r>
      <w:r>
        <w:rPr>
          <w:rFonts w:hint="eastAsia" w:ascii="宋体" w:hAnsi="宋体" w:eastAsia="宋体"/>
          <w:color w:val="auto"/>
          <w:sz w:val="21"/>
          <w:szCs w:val="21"/>
          <w:highlight w:val="none"/>
        </w:rPr>
        <w:t>不同响应人的响应文件相互混装</w:t>
      </w:r>
      <w:r>
        <w:rPr>
          <w:rFonts w:hint="eastAsia" w:ascii="宋体" w:hAnsi="宋体" w:eastAsia="宋体"/>
          <w:color w:val="auto"/>
          <w:sz w:val="21"/>
          <w:szCs w:val="21"/>
          <w:highlight w:val="none"/>
          <w:lang w:eastAsia="zh-CN"/>
        </w:rPr>
        <w:t>；</w:t>
      </w:r>
    </w:p>
    <w:p w14:paraId="4A94D085">
      <w:pPr>
        <w:pStyle w:val="6"/>
        <w:overflowPunct w:val="0"/>
        <w:spacing w:line="400" w:lineRule="exact"/>
        <w:ind w:firstLineChars="200"/>
        <w:rPr>
          <w:rFonts w:hint="eastAsia" w:ascii="宋体" w:hAnsi="宋体" w:eastAsia="宋体"/>
          <w:color w:val="auto"/>
          <w:sz w:val="21"/>
          <w:szCs w:val="21"/>
          <w:highlight w:val="none"/>
        </w:rPr>
      </w:pPr>
      <w:r>
        <w:rPr>
          <w:rFonts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3.4</w:t>
      </w:r>
      <w:r>
        <w:rPr>
          <w:rFonts w:hint="eastAsia" w:ascii="宋体" w:hAnsi="宋体" w:eastAsia="宋体"/>
          <w:color w:val="auto"/>
          <w:sz w:val="21"/>
          <w:szCs w:val="21"/>
          <w:highlight w:val="none"/>
        </w:rPr>
        <w:t>终止竞争性磋商采购活动的条款</w:t>
      </w:r>
    </w:p>
    <w:p w14:paraId="5C6A2F74">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出现下列情形之一的，采购代理机构将终止竞争性磋商采购活动，发布项目终止公告并说明原因，重新开展采购活动：</w:t>
      </w:r>
    </w:p>
    <w:p w14:paraId="6093B2FA">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3.4.1</w:t>
      </w:r>
      <w:r>
        <w:rPr>
          <w:rFonts w:hint="eastAsia" w:ascii="宋体" w:hAnsi="宋体" w:eastAsia="宋体"/>
          <w:color w:val="auto"/>
          <w:sz w:val="21"/>
          <w:szCs w:val="21"/>
          <w:highlight w:val="none"/>
        </w:rPr>
        <w:t>因情况变化，不再符合规定的竞争性磋商采购方式适用情形的；</w:t>
      </w:r>
    </w:p>
    <w:p w14:paraId="1BB229FE">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3.4.2</w:t>
      </w:r>
      <w:r>
        <w:rPr>
          <w:rFonts w:hint="eastAsia" w:ascii="宋体" w:hAnsi="宋体" w:eastAsia="宋体"/>
          <w:color w:val="auto"/>
          <w:sz w:val="21"/>
          <w:szCs w:val="21"/>
          <w:highlight w:val="none"/>
        </w:rPr>
        <w:t>出现影响采购公正的违法、违规行为的；</w:t>
      </w:r>
    </w:p>
    <w:p w14:paraId="4EC038B9">
      <w:pPr>
        <w:pStyle w:val="6"/>
        <w:overflowPunct w:val="0"/>
        <w:spacing w:line="400" w:lineRule="exact"/>
        <w:ind w:firstLineChars="200"/>
        <w:jc w:val="both"/>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3.4.3</w:t>
      </w:r>
      <w:r>
        <w:rPr>
          <w:rFonts w:hint="eastAsia" w:ascii="宋体" w:hAnsi="宋体" w:eastAsia="宋体"/>
          <w:color w:val="auto"/>
          <w:sz w:val="21"/>
          <w:szCs w:val="21"/>
          <w:highlight w:val="none"/>
        </w:rPr>
        <w:t>在采购过程中符合要求的供应商或者报价未超过采购预算的供应商不足3家的。</w:t>
      </w:r>
    </w:p>
    <w:p w14:paraId="2DBB0638">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p>
    <w:p w14:paraId="1783C307">
      <w:pPr>
        <w:keepNext w:val="0"/>
        <w:keepLines w:val="0"/>
        <w:pageBreakBefore w:val="0"/>
        <w:tabs>
          <w:tab w:val="left" w:pos="420"/>
        </w:tabs>
        <w:kinsoku/>
        <w:wordWrap/>
        <w:overflowPunct/>
        <w:topLinePunct w:val="0"/>
        <w:autoSpaceDE/>
        <w:autoSpaceDN/>
        <w:bidi w:val="0"/>
        <w:spacing w:line="440" w:lineRule="exact"/>
        <w:rPr>
          <w:rFonts w:hint="eastAsia" w:ascii="宋体" w:hAnsi="宋体" w:eastAsia="宋体" w:cs="宋体"/>
          <w:b/>
          <w:bCs/>
          <w:color w:val="auto"/>
          <w:sz w:val="21"/>
          <w:szCs w:val="21"/>
          <w:highlight w:val="none"/>
        </w:rPr>
      </w:pPr>
    </w:p>
    <w:p w14:paraId="749847DA">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14.</w:t>
      </w:r>
      <w:r>
        <w:rPr>
          <w:rFonts w:hint="eastAsia" w:ascii="宋体" w:hAnsi="宋体" w:eastAsia="宋体" w:cs="宋体"/>
          <w:b/>
          <w:bCs/>
          <w:color w:val="auto"/>
          <w:sz w:val="21"/>
          <w:szCs w:val="21"/>
          <w:highlight w:val="none"/>
        </w:rPr>
        <w:t>政府采购政策</w:t>
      </w:r>
    </w:p>
    <w:p w14:paraId="1B3BF6FF">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14.1</w:t>
      </w:r>
      <w:r>
        <w:rPr>
          <w:rFonts w:hint="eastAsia" w:ascii="宋体" w:hAnsi="宋体" w:eastAsia="宋体" w:cs="宋体"/>
          <w:color w:val="auto"/>
          <w:sz w:val="21"/>
          <w:szCs w:val="21"/>
          <w:highlight w:val="none"/>
        </w:rPr>
        <w:t>小、微企业</w:t>
      </w:r>
    </w:p>
    <w:p w14:paraId="48017DA6">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highlight w:val="none"/>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6E77F14F">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14.2</w:t>
      </w:r>
      <w:r>
        <w:rPr>
          <w:rFonts w:hint="eastAsia" w:ascii="宋体" w:hAnsi="宋体" w:eastAsia="宋体" w:cs="宋体"/>
          <w:color w:val="auto"/>
          <w:sz w:val="21"/>
          <w:szCs w:val="21"/>
          <w:highlight w:val="none"/>
        </w:rPr>
        <w:t>残疾人福利性单位</w:t>
      </w:r>
    </w:p>
    <w:p w14:paraId="0CC4558E">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7B2B4985">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14.3</w:t>
      </w:r>
      <w:r>
        <w:rPr>
          <w:rFonts w:hint="eastAsia" w:ascii="宋体" w:hAnsi="宋体" w:eastAsia="宋体" w:cs="宋体"/>
          <w:color w:val="auto"/>
          <w:sz w:val="21"/>
          <w:szCs w:val="21"/>
          <w:highlight w:val="none"/>
        </w:rPr>
        <w:t>监狱企业</w:t>
      </w:r>
    </w:p>
    <w:p w14:paraId="0737F560">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14:paraId="3BA27610">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14.4</w:t>
      </w:r>
      <w:r>
        <w:rPr>
          <w:rFonts w:hint="eastAsia" w:ascii="宋体" w:hAnsi="宋体" w:eastAsia="宋体" w:cs="宋体"/>
          <w:color w:val="auto"/>
          <w:sz w:val="21"/>
          <w:szCs w:val="21"/>
          <w:highlight w:val="none"/>
        </w:rPr>
        <w:t>绿色采购</w:t>
      </w:r>
    </w:p>
    <w:p w14:paraId="1CDA758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14.4.1</w:t>
      </w:r>
      <w:r>
        <w:rPr>
          <w:rFonts w:hint="eastAsia" w:ascii="宋体" w:hAnsi="宋体" w:eastAsia="宋体" w:cs="宋体"/>
          <w:color w:val="auto"/>
          <w:sz w:val="21"/>
          <w:szCs w:val="21"/>
          <w:highlight w:val="none"/>
        </w:rPr>
        <w:t>根据《关于调整优化节能产品、环境标志产品政府采购执行机制的通知》（财库〔2019〕9号）等相关文件的规定，</w:t>
      </w:r>
      <w:r>
        <w:rPr>
          <w:rFonts w:hint="eastAsia" w:ascii="宋体" w:hAnsi="宋体" w:eastAsia="宋体" w:cs="宋体"/>
          <w:b/>
          <w:color w:val="auto"/>
          <w:sz w:val="21"/>
          <w:szCs w:val="21"/>
          <w:highlight w:val="none"/>
        </w:rPr>
        <w:t>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14:paraId="6F7C0CBC">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highlight w:val="none"/>
        </w:rPr>
      </w:pPr>
      <w:r>
        <w:rPr>
          <w:rFonts w:hint="eastAsia" w:ascii="宋体" w:hAnsi="宋体" w:cs="宋体"/>
          <w:color w:val="auto"/>
          <w:sz w:val="21"/>
          <w:szCs w:val="21"/>
          <w:highlight w:val="none"/>
          <w:lang w:val="en-US" w:eastAsia="zh-CN"/>
        </w:rPr>
        <w:t>14.4.2</w:t>
      </w:r>
      <w:r>
        <w:rPr>
          <w:rFonts w:hint="eastAsia" w:ascii="宋体" w:hAnsi="宋体" w:eastAsia="宋体" w:cs="宋体"/>
          <w:color w:val="auto"/>
          <w:sz w:val="21"/>
          <w:highlight w:val="none"/>
        </w:rPr>
        <w:t>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5FCCB1DA">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highlight w:val="none"/>
        </w:rPr>
      </w:pPr>
      <w:r>
        <w:rPr>
          <w:rFonts w:hint="eastAsia" w:ascii="宋体" w:hAnsi="宋体" w:cs="宋体"/>
          <w:color w:val="auto"/>
          <w:sz w:val="21"/>
          <w:szCs w:val="21"/>
          <w:highlight w:val="none"/>
          <w:lang w:val="en-US" w:eastAsia="zh-CN"/>
        </w:rPr>
        <w:t>14.4.3</w:t>
      </w:r>
      <w:r>
        <w:rPr>
          <w:rFonts w:hint="eastAsia" w:ascii="宋体" w:hAnsi="宋体" w:eastAsia="宋体" w:cs="宋体"/>
          <w:color w:val="auto"/>
          <w:sz w:val="21"/>
          <w:highlight w:val="none"/>
        </w:rPr>
        <w:t>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42B63278">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p>
    <w:p w14:paraId="34B45791">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15.</w:t>
      </w:r>
      <w:r>
        <w:rPr>
          <w:rFonts w:hint="eastAsia" w:ascii="宋体" w:hAnsi="宋体" w:eastAsia="宋体" w:cs="宋体"/>
          <w:b/>
          <w:bCs/>
          <w:color w:val="auto"/>
          <w:sz w:val="21"/>
          <w:szCs w:val="21"/>
          <w:highlight w:val="none"/>
        </w:rPr>
        <w:t>关于对参与供应商信用记录的政府采购要求</w:t>
      </w:r>
    </w:p>
    <w:p w14:paraId="2B5D49C0">
      <w:pPr>
        <w:keepNext w:val="0"/>
        <w:keepLines w:val="0"/>
        <w:pageBreakBefore w:val="0"/>
        <w:tabs>
          <w:tab w:val="left" w:pos="420"/>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15.1</w:t>
      </w:r>
      <w:r>
        <w:rPr>
          <w:rFonts w:hint="eastAsia" w:ascii="宋体" w:hAnsi="宋体" w:eastAsia="宋体" w:cs="宋体"/>
          <w:color w:val="auto"/>
          <w:sz w:val="21"/>
          <w:szCs w:val="21"/>
          <w:highlight w:val="none"/>
        </w:rPr>
        <w:t>采购代理机构会在接收响应文件截止时间后，实时</w:t>
      </w:r>
      <w:r>
        <w:rPr>
          <w:rFonts w:hint="eastAsia" w:ascii="宋体" w:hAnsi="宋体" w:cs="宋体"/>
          <w:color w:val="auto"/>
          <w:sz w:val="21"/>
          <w:szCs w:val="21"/>
          <w:highlight w:val="none"/>
          <w:lang w:val="en-US" w:eastAsia="zh-CN"/>
        </w:rPr>
        <w:t>查询</w:t>
      </w:r>
      <w:r>
        <w:rPr>
          <w:rFonts w:hint="eastAsia" w:ascii="宋体" w:hAnsi="宋体" w:eastAsia="宋体" w:cs="宋体"/>
          <w:color w:val="auto"/>
          <w:sz w:val="21"/>
          <w:szCs w:val="21"/>
          <w:highlight w:val="none"/>
        </w:rPr>
        <w:t>“信用中国”相关主体信用记录，并将查询结果递交评审小组</w:t>
      </w:r>
      <w:r>
        <w:rPr>
          <w:rFonts w:hint="eastAsia" w:ascii="宋体" w:hAnsi="宋体" w:cs="宋体"/>
          <w:color w:val="auto"/>
          <w:sz w:val="21"/>
          <w:szCs w:val="21"/>
          <w:highlight w:val="none"/>
          <w:lang w:val="en-US" w:eastAsia="zh-CN"/>
        </w:rPr>
        <w:t>并留档</w:t>
      </w:r>
      <w:r>
        <w:rPr>
          <w:rFonts w:hint="eastAsia" w:ascii="宋体" w:hAnsi="宋体" w:eastAsia="宋体" w:cs="宋体"/>
          <w:color w:val="auto"/>
          <w:sz w:val="21"/>
          <w:szCs w:val="21"/>
          <w:highlight w:val="none"/>
        </w:rPr>
        <w:t>。</w:t>
      </w:r>
    </w:p>
    <w:p w14:paraId="14FDFBD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15.2</w:t>
      </w:r>
      <w:r>
        <w:rPr>
          <w:rFonts w:hint="eastAsia" w:ascii="宋体" w:hAnsi="宋体" w:eastAsia="宋体" w:cs="宋体"/>
          <w:color w:val="auto"/>
          <w:sz w:val="21"/>
          <w:szCs w:val="21"/>
          <w:highlight w:val="none"/>
        </w:rPr>
        <w:t>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30CBC61A">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6AD3F5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15.3</w:t>
      </w:r>
      <w:r>
        <w:rPr>
          <w:rFonts w:hint="eastAsia" w:ascii="宋体" w:hAnsi="宋体" w:eastAsia="宋体" w:cs="宋体"/>
          <w:color w:val="auto"/>
          <w:sz w:val="21"/>
          <w:szCs w:val="21"/>
          <w:highlight w:val="none"/>
        </w:rPr>
        <w:t>供应商若在经营活动中受到罚款的，请携带相关地方、部门对较大数额认定标准的证明材料，与响应文件一并提交。若无法提供，则可能承担响应无效等相应不利后果。</w:t>
      </w:r>
    </w:p>
    <w:p w14:paraId="3B0F66EC">
      <w:pPr>
        <w:keepNext w:val="0"/>
        <w:keepLines w:val="0"/>
        <w:pageBreakBefore w:val="0"/>
        <w:tabs>
          <w:tab w:val="left" w:pos="420"/>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15.4</w:t>
      </w:r>
      <w:r>
        <w:rPr>
          <w:rFonts w:hint="eastAsia" w:ascii="宋体" w:hAnsi="宋体" w:eastAsia="宋体" w:cs="宋体"/>
          <w:color w:val="auto"/>
          <w:sz w:val="21"/>
          <w:szCs w:val="21"/>
          <w:highlight w:val="none"/>
        </w:rPr>
        <w:t>对存在失信信息的供应商，由失信供应商进行确认。同时，采购代理机构工作人员应根据评审小组确认的失信信息，登陆到相关来源网站页面进行复核并打印，作为证据留存。</w:t>
      </w:r>
    </w:p>
    <w:p w14:paraId="48E958E9">
      <w:pPr>
        <w:spacing w:line="440" w:lineRule="exact"/>
        <w:ind w:firstLine="422"/>
        <w:rPr>
          <w:rFonts w:hint="eastAsia" w:ascii="宋体" w:hAnsi="宋体" w:eastAsia="宋体" w:cs="宋体"/>
          <w:b/>
          <w:color w:val="auto"/>
          <w:szCs w:val="21"/>
          <w:highlight w:val="none"/>
          <w:lang w:bidi="ar"/>
        </w:rPr>
      </w:pPr>
    </w:p>
    <w:p w14:paraId="398551B4">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lang w:eastAsia="zh-CN" w:bidi="ar"/>
        </w:rPr>
        <w:t>16.</w:t>
      </w:r>
      <w:r>
        <w:rPr>
          <w:rFonts w:hint="eastAsia" w:ascii="宋体" w:hAnsi="宋体" w:eastAsia="宋体" w:cs="宋体"/>
          <w:b/>
          <w:color w:val="auto"/>
          <w:szCs w:val="21"/>
          <w:highlight w:val="none"/>
          <w:lang w:bidi="ar"/>
        </w:rPr>
        <w:t>合同的签订</w:t>
      </w:r>
    </w:p>
    <w:p w14:paraId="254AF484">
      <w:pPr>
        <w:pStyle w:val="102"/>
        <w:widowControl w:val="0"/>
        <w:spacing w:before="0" w:beforeAutospacing="0" w:after="0" w:afterAutospacing="0" w:line="400" w:lineRule="exact"/>
        <w:ind w:firstLine="420"/>
        <w:jc w:val="both"/>
        <w:rPr>
          <w:rFonts w:hint="eastAsia" w:ascii="宋体" w:hAnsi="宋体" w:cs="宋体"/>
          <w:color w:val="auto"/>
          <w:sz w:val="21"/>
          <w:szCs w:val="21"/>
          <w:highlight w:val="none"/>
        </w:rPr>
      </w:pPr>
      <w:r>
        <w:rPr>
          <w:rFonts w:hint="eastAsia" w:cs="宋体"/>
          <w:color w:val="auto"/>
          <w:sz w:val="21"/>
          <w:szCs w:val="21"/>
          <w:highlight w:val="none"/>
          <w:lang w:eastAsia="zh-CN" w:bidi="ar"/>
        </w:rPr>
        <w:t>16.</w:t>
      </w:r>
      <w:r>
        <w:rPr>
          <w:rFonts w:hint="eastAsia" w:ascii="宋体" w:hAnsi="宋体" w:eastAsia="宋体" w:cs="宋体"/>
          <w:color w:val="auto"/>
          <w:sz w:val="21"/>
          <w:szCs w:val="21"/>
          <w:highlight w:val="none"/>
          <w:lang w:bidi="ar"/>
        </w:rPr>
        <w:t>1.成交供应商应按成交通知书中规定的时间和地点，与采购人签订合同。</w:t>
      </w:r>
    </w:p>
    <w:p w14:paraId="637AF5B7">
      <w:pPr>
        <w:pStyle w:val="102"/>
        <w:widowControl w:val="0"/>
        <w:spacing w:before="0" w:beforeAutospacing="0" w:after="0" w:afterAutospacing="0" w:line="400" w:lineRule="exact"/>
        <w:ind w:firstLine="420"/>
        <w:jc w:val="both"/>
        <w:rPr>
          <w:rFonts w:hint="eastAsia" w:ascii="宋体" w:hAnsi="宋体" w:cs="宋体"/>
          <w:color w:val="auto"/>
          <w:sz w:val="21"/>
          <w:szCs w:val="21"/>
          <w:highlight w:val="none"/>
        </w:rPr>
      </w:pPr>
      <w:r>
        <w:rPr>
          <w:rFonts w:hint="eastAsia" w:cs="宋体"/>
          <w:color w:val="auto"/>
          <w:sz w:val="21"/>
          <w:szCs w:val="21"/>
          <w:highlight w:val="none"/>
          <w:lang w:eastAsia="zh-CN" w:bidi="ar"/>
        </w:rPr>
        <w:t>16.</w:t>
      </w:r>
      <w:r>
        <w:rPr>
          <w:rFonts w:hint="eastAsia" w:ascii="宋体" w:hAnsi="宋体" w:eastAsia="宋体" w:cs="宋体"/>
          <w:color w:val="auto"/>
          <w:sz w:val="21"/>
          <w:szCs w:val="21"/>
          <w:highlight w:val="none"/>
          <w:lang w:bidi="ar"/>
        </w:rPr>
        <w:t>2.签订合同及合同条款应以磋商文件和成交供应商的磋商响应文件及其澄清承诺文件为依据。</w:t>
      </w:r>
    </w:p>
    <w:p w14:paraId="72FA361C">
      <w:pPr>
        <w:spacing w:line="400" w:lineRule="exact"/>
        <w:ind w:firstLine="422"/>
        <w:rPr>
          <w:rFonts w:hint="eastAsia" w:ascii="宋体" w:hAnsi="宋体" w:cs="宋体"/>
          <w:bCs/>
          <w:color w:val="auto"/>
          <w:szCs w:val="21"/>
          <w:highlight w:val="none"/>
        </w:rPr>
      </w:pPr>
      <w:r>
        <w:rPr>
          <w:rFonts w:hint="eastAsia" w:ascii="宋体" w:hAnsi="宋体" w:cs="宋体"/>
          <w:b/>
          <w:color w:val="auto"/>
          <w:szCs w:val="21"/>
          <w:highlight w:val="none"/>
          <w:lang w:eastAsia="zh-CN" w:bidi="ar"/>
        </w:rPr>
        <w:t>16.</w:t>
      </w:r>
      <w:r>
        <w:rPr>
          <w:rFonts w:hint="eastAsia" w:ascii="宋体" w:hAnsi="宋体" w:cs="宋体"/>
          <w:b/>
          <w:color w:val="auto"/>
          <w:szCs w:val="21"/>
          <w:highlight w:val="none"/>
          <w:lang w:bidi="ar"/>
        </w:rPr>
        <w:t>3.</w:t>
      </w:r>
      <w:r>
        <w:rPr>
          <w:rFonts w:hint="eastAsia" w:ascii="宋体" w:hAnsi="宋体" w:eastAsia="宋体" w:cs="宋体"/>
          <w:b/>
          <w:color w:val="auto"/>
          <w:szCs w:val="21"/>
          <w:highlight w:val="none"/>
        </w:rPr>
        <w:t>《政府采购促进中小企业发展管理办法》规定享受扶持政策获得政府采购合同的，小微企业不得将合同分包给大中型企业，中型企业不得将合同分包给大型企业。</w:t>
      </w:r>
    </w:p>
    <w:p w14:paraId="30865D2B">
      <w:pPr>
        <w:pStyle w:val="102"/>
        <w:spacing w:before="0" w:beforeAutospacing="0" w:after="0" w:afterAutospacing="0" w:line="480" w:lineRule="atLeast"/>
        <w:ind w:firstLine="420"/>
        <w:jc w:val="both"/>
        <w:rPr>
          <w:rFonts w:hint="eastAsia" w:ascii="宋体" w:hAnsi="宋体" w:eastAsia="宋体" w:cs="宋体"/>
          <w:b/>
          <w:bCs w:val="0"/>
          <w:color w:val="auto"/>
          <w:sz w:val="21"/>
          <w:szCs w:val="21"/>
          <w:highlight w:val="none"/>
        </w:rPr>
      </w:pPr>
    </w:p>
    <w:p w14:paraId="277FF02F">
      <w:pPr>
        <w:pStyle w:val="102"/>
        <w:spacing w:before="0" w:beforeAutospacing="0" w:after="0" w:afterAutospacing="0" w:line="480" w:lineRule="atLeast"/>
        <w:ind w:firstLine="420"/>
        <w:jc w:val="both"/>
        <w:rPr>
          <w:rFonts w:hint="eastAsia" w:ascii="宋体" w:hAnsi="宋体" w:cs="宋体"/>
          <w:bCs/>
          <w:color w:val="auto"/>
          <w:sz w:val="21"/>
          <w:szCs w:val="21"/>
          <w:highlight w:val="none"/>
        </w:rPr>
      </w:pPr>
      <w:r>
        <w:rPr>
          <w:rFonts w:hint="eastAsia" w:cs="宋体"/>
          <w:b/>
          <w:bCs w:val="0"/>
          <w:color w:val="auto"/>
          <w:sz w:val="21"/>
          <w:szCs w:val="21"/>
          <w:highlight w:val="none"/>
          <w:lang w:eastAsia="zh-CN"/>
        </w:rPr>
        <w:t>17.</w:t>
      </w:r>
      <w:r>
        <w:rPr>
          <w:rFonts w:hint="eastAsia" w:ascii="宋体" w:hAnsi="宋体" w:eastAsia="宋体" w:cs="宋体"/>
          <w:b/>
          <w:bCs w:val="0"/>
          <w:color w:val="auto"/>
          <w:sz w:val="21"/>
          <w:szCs w:val="21"/>
          <w:highlight w:val="none"/>
        </w:rPr>
        <w:t>磋商保证金：</w:t>
      </w:r>
      <w:r>
        <w:rPr>
          <w:rFonts w:hint="eastAsia" w:ascii="宋体" w:hAnsi="宋体" w:eastAsia="宋体" w:cs="宋体"/>
          <w:bCs/>
          <w:color w:val="auto"/>
          <w:sz w:val="21"/>
          <w:szCs w:val="21"/>
          <w:highlight w:val="none"/>
        </w:rPr>
        <w:t>本项目不收取保证金，但需在响应文件中提供《</w:t>
      </w:r>
      <w:r>
        <w:rPr>
          <w:rFonts w:hint="eastAsia" w:ascii="宋体" w:hAnsi="宋体" w:eastAsia="宋体" w:cs="宋体"/>
          <w:bCs/>
          <w:color w:val="auto"/>
          <w:sz w:val="21"/>
          <w:szCs w:val="21"/>
          <w:highlight w:val="none"/>
          <w:lang w:val="zh-CN"/>
        </w:rPr>
        <w:t>投标（响应）保证承诺书》。</w:t>
      </w:r>
    </w:p>
    <w:p w14:paraId="424A8C39">
      <w:pPr>
        <w:spacing w:line="400" w:lineRule="exact"/>
        <w:ind w:firstLine="422"/>
        <w:rPr>
          <w:rFonts w:hint="eastAsia" w:ascii="宋体" w:hAnsi="宋体" w:eastAsia="宋体" w:cs="宋体"/>
          <w:b/>
          <w:color w:val="auto"/>
          <w:szCs w:val="21"/>
          <w:highlight w:val="none"/>
          <w:lang w:bidi="ar"/>
        </w:rPr>
      </w:pPr>
    </w:p>
    <w:p w14:paraId="09BFD6DD">
      <w:pPr>
        <w:spacing w:line="400" w:lineRule="exact"/>
        <w:ind w:firstLine="422"/>
        <w:rPr>
          <w:rFonts w:ascii="宋体" w:hAnsi="宋体" w:cs="宋体"/>
          <w:bCs/>
          <w:color w:val="auto"/>
          <w:szCs w:val="21"/>
          <w:highlight w:val="none"/>
        </w:rPr>
      </w:pPr>
      <w:r>
        <w:rPr>
          <w:rFonts w:hint="eastAsia" w:ascii="宋体" w:hAnsi="宋体" w:eastAsia="宋体" w:cs="宋体"/>
          <w:b/>
          <w:color w:val="auto"/>
          <w:szCs w:val="21"/>
          <w:highlight w:val="none"/>
          <w:lang w:bidi="ar"/>
        </w:rPr>
        <w:t>1</w:t>
      </w:r>
      <w:r>
        <w:rPr>
          <w:rFonts w:hint="eastAsia" w:ascii="宋体" w:hAnsi="宋体" w:cs="宋体"/>
          <w:b/>
          <w:color w:val="auto"/>
          <w:szCs w:val="21"/>
          <w:highlight w:val="none"/>
          <w:lang w:val="en-US" w:eastAsia="zh-CN" w:bidi="ar"/>
        </w:rPr>
        <w:t>8</w:t>
      </w:r>
      <w:r>
        <w:rPr>
          <w:rFonts w:hint="eastAsia" w:ascii="宋体" w:hAnsi="宋体" w:eastAsia="宋体" w:cs="宋体"/>
          <w:b/>
          <w:color w:val="auto"/>
          <w:szCs w:val="21"/>
          <w:highlight w:val="none"/>
          <w:lang w:bidi="ar"/>
        </w:rPr>
        <w:t>.代理服务费：</w:t>
      </w:r>
      <w:r>
        <w:rPr>
          <w:rFonts w:hint="eastAsia" w:ascii="宋体" w:hAnsi="宋体" w:cs="宋体"/>
          <w:color w:val="auto"/>
          <w:szCs w:val="21"/>
          <w:highlight w:val="none"/>
          <w:lang w:val="zh-CN"/>
        </w:rPr>
        <w:t>按差额定率累进法计算收取，</w:t>
      </w:r>
      <w:r>
        <w:rPr>
          <w:rFonts w:hint="eastAsia" w:ascii="宋体" w:hAnsi="宋体" w:cs="宋体"/>
          <w:color w:val="auto"/>
          <w:szCs w:val="21"/>
          <w:highlight w:val="none"/>
        </w:rPr>
        <w:t>成交</w:t>
      </w:r>
      <w:r>
        <w:rPr>
          <w:rFonts w:hint="eastAsia" w:ascii="宋体" w:hAnsi="宋体" w:cs="宋体"/>
          <w:color w:val="auto"/>
          <w:szCs w:val="21"/>
          <w:highlight w:val="none"/>
          <w:lang w:val="zh-CN"/>
        </w:rPr>
        <w:t>单位在领取</w:t>
      </w:r>
      <w:r>
        <w:rPr>
          <w:rFonts w:hint="eastAsia" w:ascii="宋体" w:hAnsi="宋体" w:cs="宋体"/>
          <w:color w:val="auto"/>
          <w:szCs w:val="21"/>
          <w:highlight w:val="none"/>
        </w:rPr>
        <w:t>成交</w:t>
      </w:r>
      <w:r>
        <w:rPr>
          <w:rFonts w:hint="eastAsia" w:ascii="宋体" w:hAnsi="宋体" w:cs="宋体"/>
          <w:color w:val="auto"/>
          <w:szCs w:val="21"/>
          <w:highlight w:val="none"/>
          <w:lang w:val="zh-CN"/>
        </w:rPr>
        <w:t>通知书时向采购代理机构一次性付清。预算金额100万以下费率为预算金额的1.5%；预算金额100</w:t>
      </w:r>
      <w:r>
        <w:rPr>
          <w:color w:val="auto"/>
          <w:szCs w:val="21"/>
          <w:highlight w:val="none"/>
          <w:lang w:val="zh-CN"/>
        </w:rPr>
        <w:t>万（含）-500万费率为预算金额的1.1%；预算金额500万（含）-1000万费率为预算金额的0.8%。</w:t>
      </w:r>
    </w:p>
    <w:p w14:paraId="7DEC1F9E">
      <w:pPr>
        <w:adjustRightInd w:val="0"/>
        <w:snapToGrid w:val="0"/>
        <w:spacing w:line="440" w:lineRule="exact"/>
        <w:ind w:left="0" w:leftChars="0" w:firstLine="422" w:firstLineChars="0"/>
        <w:rPr>
          <w:color w:val="auto"/>
          <w:szCs w:val="21"/>
          <w:highlight w:val="none"/>
          <w:lang w:val="zh-CN"/>
        </w:rPr>
      </w:pPr>
      <w:r>
        <w:rPr>
          <w:color w:val="auto"/>
          <w:szCs w:val="21"/>
          <w:highlight w:val="none"/>
          <w:lang w:val="zh-CN"/>
        </w:rPr>
        <w:t>账  户：苏州鼎力招投标咨询服务有限公司</w:t>
      </w:r>
    </w:p>
    <w:p w14:paraId="09138887">
      <w:pPr>
        <w:adjustRightInd w:val="0"/>
        <w:snapToGrid w:val="0"/>
        <w:spacing w:line="440" w:lineRule="exact"/>
        <w:ind w:left="0" w:leftChars="0" w:firstLine="422" w:firstLineChars="0"/>
        <w:rPr>
          <w:color w:val="auto"/>
          <w:szCs w:val="21"/>
          <w:highlight w:val="none"/>
          <w:lang w:val="zh-CN"/>
        </w:rPr>
      </w:pPr>
      <w:r>
        <w:rPr>
          <w:color w:val="auto"/>
          <w:szCs w:val="21"/>
          <w:highlight w:val="none"/>
          <w:lang w:val="zh-CN"/>
        </w:rPr>
        <w:t>开户行：</w:t>
      </w:r>
      <w:r>
        <w:rPr>
          <w:rFonts w:hint="eastAsia"/>
          <w:color w:val="auto"/>
          <w:szCs w:val="21"/>
          <w:highlight w:val="none"/>
          <w:lang w:val="zh-CN"/>
        </w:rPr>
        <w:t>中国建设银行股份有限公司苏州长三角一体化示范区分行营业部</w:t>
      </w:r>
    </w:p>
    <w:p w14:paraId="65A5346A">
      <w:pPr>
        <w:adjustRightInd w:val="0"/>
        <w:snapToGrid w:val="0"/>
        <w:spacing w:line="440" w:lineRule="exact"/>
        <w:ind w:left="0" w:leftChars="0" w:firstLine="422" w:firstLineChars="0"/>
        <w:rPr>
          <w:b/>
          <w:color w:val="auto"/>
          <w:kern w:val="0"/>
          <w:szCs w:val="21"/>
          <w:highlight w:val="none"/>
        </w:rPr>
      </w:pPr>
      <w:r>
        <w:rPr>
          <w:color w:val="auto"/>
          <w:szCs w:val="21"/>
          <w:highlight w:val="none"/>
          <w:lang w:val="zh-CN"/>
        </w:rPr>
        <w:t>账  号：32250199763600000937</w:t>
      </w:r>
    </w:p>
    <w:p w14:paraId="54F8AAF7">
      <w:pPr>
        <w:spacing w:line="400" w:lineRule="exact"/>
        <w:ind w:firstLine="420"/>
        <w:rPr>
          <w:rFonts w:hint="eastAsia" w:ascii="宋体" w:hAnsi="宋体" w:eastAsia="宋体" w:cs="宋体"/>
          <w:b/>
          <w:bCs w:val="0"/>
          <w:color w:val="auto"/>
          <w:szCs w:val="21"/>
          <w:highlight w:val="none"/>
        </w:rPr>
      </w:pPr>
    </w:p>
    <w:p w14:paraId="4AB01E34">
      <w:pPr>
        <w:spacing w:line="400" w:lineRule="exact"/>
        <w:ind w:firstLine="420"/>
        <w:rPr>
          <w:rFonts w:hint="eastAsia" w:ascii="宋体" w:hAnsi="宋体" w:cs="宋体"/>
          <w:b/>
          <w:bCs w:val="0"/>
          <w:color w:val="auto"/>
          <w:szCs w:val="21"/>
          <w:highlight w:val="none"/>
        </w:rPr>
      </w:pPr>
      <w:r>
        <w:rPr>
          <w:rFonts w:hint="eastAsia" w:ascii="宋体" w:hAnsi="宋体" w:cs="宋体"/>
          <w:b/>
          <w:bCs w:val="0"/>
          <w:color w:val="auto"/>
          <w:szCs w:val="21"/>
          <w:highlight w:val="none"/>
          <w:lang w:eastAsia="zh-CN"/>
        </w:rPr>
        <w:t>19.</w:t>
      </w:r>
      <w:r>
        <w:rPr>
          <w:rFonts w:hint="eastAsia" w:ascii="宋体" w:hAnsi="宋体" w:eastAsia="宋体" w:cs="宋体"/>
          <w:b/>
          <w:bCs w:val="0"/>
          <w:color w:val="auto"/>
          <w:szCs w:val="21"/>
          <w:highlight w:val="none"/>
        </w:rPr>
        <w:t>磋商说明：</w:t>
      </w:r>
    </w:p>
    <w:p w14:paraId="4C0D793D">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不符合供应商资格要求的响应文件将被拒绝；</w:t>
      </w:r>
    </w:p>
    <w:p w14:paraId="102F3951">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参加磋商的供应商必须</w:t>
      </w:r>
      <w:r>
        <w:rPr>
          <w:rFonts w:hint="eastAsia" w:ascii="宋体" w:hAnsi="宋体" w:eastAsia="宋体" w:cs="宋体"/>
          <w:color w:val="auto"/>
          <w:szCs w:val="21"/>
          <w:highlight w:val="none"/>
          <w:lang w:bidi="ar"/>
        </w:rPr>
        <w:t>法定代表人或授权委托人</w:t>
      </w:r>
      <w:r>
        <w:rPr>
          <w:rFonts w:hint="eastAsia" w:ascii="宋体" w:hAnsi="宋体" w:eastAsia="宋体" w:cs="宋体"/>
          <w:bCs/>
          <w:color w:val="auto"/>
          <w:szCs w:val="21"/>
          <w:highlight w:val="none"/>
        </w:rPr>
        <w:t>；</w:t>
      </w:r>
    </w:p>
    <w:p w14:paraId="309F7137">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rPr>
        <w:t>响应文件签署不符合要求的，响应文件将被拒绝；</w:t>
      </w:r>
    </w:p>
    <w:p w14:paraId="1E0A6F63">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4</w:t>
      </w:r>
      <w:r>
        <w:rPr>
          <w:rFonts w:hint="eastAsia" w:ascii="宋体" w:hAnsi="宋体" w:eastAsia="宋体" w:cs="宋体"/>
          <w:bCs/>
          <w:color w:val="auto"/>
          <w:szCs w:val="21"/>
          <w:highlight w:val="none"/>
        </w:rPr>
        <w:t>最终报价超过采购预算的，不能成交；</w:t>
      </w:r>
    </w:p>
    <w:p w14:paraId="19318FB1">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5</w:t>
      </w:r>
      <w:r>
        <w:rPr>
          <w:rFonts w:hint="eastAsia" w:ascii="宋体" w:hAnsi="宋体" w:eastAsia="宋体" w:cs="宋体"/>
          <w:bCs/>
          <w:color w:val="auto"/>
          <w:szCs w:val="21"/>
          <w:highlight w:val="none"/>
        </w:rPr>
        <w:t>不实质性响应磋商文件的不能成交；</w:t>
      </w:r>
    </w:p>
    <w:p w14:paraId="0B449B84">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6各</w:t>
      </w:r>
      <w:r>
        <w:rPr>
          <w:rFonts w:hint="eastAsia" w:ascii="宋体" w:hAnsi="宋体" w:eastAsia="宋体" w:cs="宋体"/>
          <w:bCs/>
          <w:color w:val="auto"/>
          <w:szCs w:val="21"/>
          <w:highlight w:val="none"/>
        </w:rPr>
        <w:t>标段实质性响应磋商文件不满三家或进入二次报价的不满三家或二次报价在采购预算内不满三家的，磋商采购失败。</w:t>
      </w:r>
    </w:p>
    <w:p w14:paraId="062054CC">
      <w:pPr>
        <w:spacing w:line="400" w:lineRule="exact"/>
        <w:ind w:firstLine="422"/>
        <w:rPr>
          <w:rFonts w:hint="eastAsia" w:ascii="宋体" w:hAnsi="宋体" w:eastAsia="宋体" w:cs="宋体"/>
          <w:b/>
          <w:color w:val="auto"/>
          <w:szCs w:val="21"/>
          <w:highlight w:val="none"/>
          <w:lang w:bidi="ar"/>
        </w:rPr>
      </w:pPr>
    </w:p>
    <w:p w14:paraId="1FB6E190">
      <w:pPr>
        <w:spacing w:line="400" w:lineRule="exact"/>
        <w:ind w:firstLine="422"/>
        <w:rPr>
          <w:rFonts w:hint="eastAsia" w:ascii="宋体" w:hAnsi="宋体" w:eastAsia="宋体" w:cs="宋体"/>
          <w:color w:val="auto"/>
          <w:szCs w:val="21"/>
          <w:highlight w:val="none"/>
          <w:lang w:bidi="ar"/>
        </w:rPr>
      </w:pPr>
      <w:r>
        <w:rPr>
          <w:rFonts w:hint="eastAsia" w:ascii="宋体" w:hAnsi="宋体" w:eastAsia="宋体" w:cs="宋体"/>
          <w:b/>
          <w:color w:val="auto"/>
          <w:szCs w:val="21"/>
          <w:highlight w:val="none"/>
          <w:lang w:bidi="ar"/>
        </w:rPr>
        <w:t>2</w:t>
      </w:r>
      <w:r>
        <w:rPr>
          <w:rFonts w:hint="eastAsia" w:ascii="宋体" w:hAnsi="宋体" w:cs="宋体"/>
          <w:b/>
          <w:color w:val="auto"/>
          <w:szCs w:val="21"/>
          <w:highlight w:val="none"/>
          <w:lang w:val="en-US" w:eastAsia="zh-CN" w:bidi="ar"/>
        </w:rPr>
        <w:t>0</w:t>
      </w:r>
      <w:r>
        <w:rPr>
          <w:rFonts w:hint="eastAsia" w:ascii="宋体" w:hAnsi="宋体" w:eastAsia="宋体" w:cs="宋体"/>
          <w:b/>
          <w:color w:val="auto"/>
          <w:szCs w:val="21"/>
          <w:highlight w:val="none"/>
          <w:lang w:bidi="ar"/>
        </w:rPr>
        <w:t>.未尽事宜：</w:t>
      </w:r>
      <w:r>
        <w:rPr>
          <w:rFonts w:hint="eastAsia" w:ascii="宋体" w:hAnsi="宋体" w:eastAsia="宋体" w:cs="宋体"/>
          <w:color w:val="auto"/>
          <w:szCs w:val="21"/>
          <w:highlight w:val="none"/>
          <w:lang w:bidi="ar"/>
        </w:rPr>
        <w:t>按《中华人民共和国政府采购法》及其他有关的法律法规的规定执行。</w:t>
      </w:r>
    </w:p>
    <w:p w14:paraId="72BAB724">
      <w:pPr>
        <w:keepNext w:val="0"/>
        <w:keepLines w:val="0"/>
        <w:pageBreakBefore w:val="0"/>
        <w:kinsoku/>
        <w:wordWrap/>
        <w:overflowPunct/>
        <w:topLinePunct w:val="0"/>
        <w:autoSpaceDE/>
        <w:autoSpaceDN/>
        <w:bidi w:val="0"/>
        <w:snapToGrid w:val="0"/>
        <w:spacing w:line="440" w:lineRule="exact"/>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highlight w:val="none"/>
        </w:rPr>
        <w:t>2</w:t>
      </w:r>
      <w:r>
        <w:rPr>
          <w:rFonts w:hint="eastAsia" w:ascii="宋体" w:hAnsi="宋体" w:cs="宋体"/>
          <w:b/>
          <w:bCs/>
          <w:color w:val="auto"/>
          <w:highlight w:val="none"/>
          <w:lang w:val="en-US" w:eastAsia="zh-CN"/>
        </w:rPr>
        <w:t>1</w:t>
      </w:r>
      <w:r>
        <w:rPr>
          <w:rFonts w:hint="eastAsia" w:ascii="宋体" w:hAnsi="宋体" w:eastAsia="宋体" w:cs="宋体"/>
          <w:b/>
          <w:bCs/>
          <w:color w:val="auto"/>
          <w:highlight w:val="none"/>
          <w:lang w:val="en-US" w:eastAsia="zh-CN"/>
        </w:rPr>
        <w:t>.</w:t>
      </w:r>
      <w:r>
        <w:rPr>
          <w:rFonts w:hint="eastAsia" w:ascii="宋体" w:hAnsi="宋体" w:eastAsia="宋体" w:cs="宋体"/>
          <w:b/>
          <w:bCs/>
          <w:color w:val="auto"/>
          <w:highlight w:val="none"/>
        </w:rPr>
        <w:t>备注：本文件打“★”为实质性条款，不可</w:t>
      </w:r>
      <w:r>
        <w:rPr>
          <w:rFonts w:hint="eastAsia" w:ascii="宋体" w:hAnsi="宋体" w:eastAsia="宋体" w:cs="宋体"/>
          <w:b/>
          <w:bCs/>
          <w:color w:val="auto"/>
          <w:highlight w:val="none"/>
          <w:lang w:val="en-US" w:eastAsia="zh-CN"/>
        </w:rPr>
        <w:t>负</w:t>
      </w:r>
      <w:r>
        <w:rPr>
          <w:rFonts w:hint="eastAsia" w:ascii="宋体" w:hAnsi="宋体" w:eastAsia="宋体" w:cs="宋体"/>
          <w:b/>
          <w:bCs/>
          <w:color w:val="auto"/>
          <w:highlight w:val="none"/>
        </w:rPr>
        <w:t>偏离，如</w:t>
      </w:r>
      <w:r>
        <w:rPr>
          <w:rFonts w:hint="eastAsia" w:ascii="宋体" w:hAnsi="宋体" w:eastAsia="宋体" w:cs="宋体"/>
          <w:b/>
          <w:bCs/>
          <w:color w:val="auto"/>
          <w:highlight w:val="none"/>
          <w:lang w:val="en-US" w:eastAsia="zh-CN"/>
        </w:rPr>
        <w:t>负</w:t>
      </w:r>
      <w:r>
        <w:rPr>
          <w:rFonts w:hint="eastAsia" w:ascii="宋体" w:hAnsi="宋体" w:eastAsia="宋体" w:cs="宋体"/>
          <w:b/>
          <w:bCs/>
          <w:color w:val="auto"/>
          <w:highlight w:val="none"/>
        </w:rPr>
        <w:t>偏离响应文件无效。</w:t>
      </w:r>
    </w:p>
    <w:p w14:paraId="00BE4D83">
      <w:pPr>
        <w:keepNext w:val="0"/>
        <w:keepLines w:val="0"/>
        <w:pageBreakBefore w:val="0"/>
        <w:kinsoku/>
        <w:wordWrap/>
        <w:overflowPunct/>
        <w:topLinePunct w:val="0"/>
        <w:autoSpaceDE/>
        <w:autoSpaceDN/>
        <w:bidi w:val="0"/>
        <w:snapToGrid w:val="0"/>
        <w:spacing w:line="440" w:lineRule="exact"/>
        <w:ind w:firstLine="420" w:firstLineChars="200"/>
        <w:rPr>
          <w:rFonts w:hint="eastAsia" w:ascii="宋体" w:hAnsi="宋体" w:eastAsia="宋体" w:cs="宋体"/>
          <w:color w:val="auto"/>
          <w:szCs w:val="21"/>
          <w:highlight w:val="none"/>
        </w:rPr>
      </w:pPr>
    </w:p>
    <w:p w14:paraId="56E0134A">
      <w:pPr>
        <w:pStyle w:val="23"/>
        <w:spacing w:after="312" w:afterLines="100"/>
        <w:jc w:val="center"/>
        <w:outlineLvl w:val="0"/>
        <w:rPr>
          <w:rFonts w:ascii="Times New Roman" w:hAnsi="Times New Roman"/>
          <w:color w:val="auto"/>
          <w:sz w:val="44"/>
          <w:szCs w:val="44"/>
          <w:highlight w:val="none"/>
          <w:lang w:val="zh-CN"/>
        </w:rPr>
      </w:pPr>
      <w:r>
        <w:rPr>
          <w:rFonts w:ascii="Times New Roman" w:hAnsi="Times New Roman"/>
          <w:color w:val="auto"/>
          <w:sz w:val="44"/>
          <w:szCs w:val="44"/>
          <w:highlight w:val="none"/>
          <w:lang w:val="zh-CN"/>
        </w:rPr>
        <w:br w:type="page"/>
      </w:r>
      <w:r>
        <w:rPr>
          <w:rFonts w:ascii="Times New Roman" w:hAnsi="Times New Roman"/>
          <w:color w:val="auto"/>
          <w:sz w:val="44"/>
          <w:szCs w:val="44"/>
          <w:highlight w:val="none"/>
          <w:lang w:val="zh-CN"/>
        </w:rPr>
        <w:t>第</w:t>
      </w:r>
      <w:r>
        <w:rPr>
          <w:rFonts w:ascii="Times New Roman" w:hAnsi="Times New Roman"/>
          <w:color w:val="auto"/>
          <w:sz w:val="44"/>
          <w:szCs w:val="44"/>
          <w:highlight w:val="none"/>
        </w:rPr>
        <w:t>三</w:t>
      </w:r>
      <w:r>
        <w:rPr>
          <w:rFonts w:ascii="Times New Roman" w:hAnsi="Times New Roman"/>
          <w:color w:val="auto"/>
          <w:sz w:val="44"/>
          <w:szCs w:val="44"/>
          <w:highlight w:val="none"/>
          <w:lang w:val="zh-CN"/>
        </w:rPr>
        <w:t>章 响应文件格式</w:t>
      </w:r>
      <w:bookmarkEnd w:id="13"/>
      <w:bookmarkEnd w:id="14"/>
      <w:bookmarkEnd w:id="15"/>
      <w:bookmarkEnd w:id="16"/>
    </w:p>
    <w:p w14:paraId="066ADBD6">
      <w:pPr>
        <w:autoSpaceDE w:val="0"/>
        <w:autoSpaceDN w:val="0"/>
        <w:adjustRightInd w:val="0"/>
        <w:spacing w:line="360" w:lineRule="auto"/>
        <w:rPr>
          <w:b/>
          <w:bCs/>
          <w:color w:val="auto"/>
          <w:szCs w:val="21"/>
          <w:highlight w:val="none"/>
          <w:lang w:val="zh-CN"/>
        </w:rPr>
      </w:pPr>
      <w:bookmarkStart w:id="17" w:name="_Toc61514584"/>
      <w:bookmarkStart w:id="18" w:name="_Toc22628"/>
      <w:r>
        <w:rPr>
          <w:b/>
          <w:bCs/>
          <w:color w:val="auto"/>
          <w:szCs w:val="21"/>
          <w:highlight w:val="none"/>
          <w:lang w:val="zh-CN"/>
        </w:rPr>
        <w:t>说明：</w:t>
      </w:r>
    </w:p>
    <w:p w14:paraId="0E347B5E">
      <w:pPr>
        <w:autoSpaceDE w:val="0"/>
        <w:autoSpaceDN w:val="0"/>
        <w:adjustRightInd w:val="0"/>
        <w:spacing w:line="360" w:lineRule="auto"/>
        <w:ind w:firstLine="464" w:firstLineChars="220"/>
        <w:rPr>
          <w:b/>
          <w:bCs/>
          <w:color w:val="auto"/>
          <w:szCs w:val="21"/>
          <w:highlight w:val="none"/>
        </w:rPr>
      </w:pPr>
      <w:r>
        <w:rPr>
          <w:b/>
          <w:bCs/>
          <w:color w:val="auto"/>
          <w:szCs w:val="21"/>
          <w:highlight w:val="none"/>
          <w:lang w:val="zh-CN"/>
        </w:rPr>
        <w:t>对本章所有的响应文件格式 ，响应人可根据自身情况进行补充和修改，但补充和修改不得造成与本格式内容有实质性的违背。</w:t>
      </w:r>
    </w:p>
    <w:p w14:paraId="0277364E">
      <w:pPr>
        <w:spacing w:line="400" w:lineRule="exact"/>
        <w:jc w:val="left"/>
        <w:rPr>
          <w:b/>
          <w:bCs/>
          <w:color w:val="auto"/>
          <w:sz w:val="32"/>
          <w:highlight w:val="none"/>
        </w:rPr>
      </w:pPr>
    </w:p>
    <w:p w14:paraId="4D9817BD">
      <w:pPr>
        <w:pStyle w:val="13"/>
        <w:outlineLvl w:val="1"/>
        <w:rPr>
          <w:rFonts w:ascii="Times New Roman" w:hAnsi="Times New Roman"/>
          <w:b/>
          <w:bCs/>
          <w:color w:val="auto"/>
          <w:szCs w:val="21"/>
          <w:highlight w:val="none"/>
        </w:rPr>
      </w:pPr>
      <w:bookmarkStart w:id="19" w:name="_Toc10739"/>
      <w:bookmarkStart w:id="20" w:name="_Toc25589"/>
      <w:r>
        <w:rPr>
          <w:rFonts w:ascii="Times New Roman" w:hAnsi="Times New Roman"/>
          <w:b/>
          <w:bCs/>
          <w:color w:val="auto"/>
          <w:szCs w:val="21"/>
          <w:highlight w:val="none"/>
        </w:rPr>
        <w:br w:type="page"/>
      </w:r>
      <w:r>
        <w:rPr>
          <w:rFonts w:ascii="Times New Roman" w:hAnsi="Times New Roman"/>
          <w:b/>
          <w:bCs/>
          <w:color w:val="auto"/>
          <w:szCs w:val="21"/>
          <w:highlight w:val="none"/>
        </w:rPr>
        <w:t>格式1：授权委托书</w:t>
      </w:r>
      <w:bookmarkEnd w:id="19"/>
      <w:bookmarkEnd w:id="20"/>
    </w:p>
    <w:p w14:paraId="58778BDF">
      <w:pPr>
        <w:spacing w:line="360" w:lineRule="auto"/>
        <w:jc w:val="center"/>
        <w:rPr>
          <w:color w:val="auto"/>
          <w:szCs w:val="21"/>
          <w:highlight w:val="none"/>
        </w:rPr>
      </w:pPr>
      <w:r>
        <w:rPr>
          <w:b/>
          <w:bCs/>
          <w:color w:val="auto"/>
          <w:szCs w:val="21"/>
          <w:highlight w:val="none"/>
        </w:rPr>
        <w:t>授权委托书</w:t>
      </w:r>
    </w:p>
    <w:p w14:paraId="18009ECF">
      <w:pPr>
        <w:spacing w:line="520" w:lineRule="exact"/>
        <w:ind w:firstLine="420" w:firstLineChars="200"/>
        <w:jc w:val="left"/>
        <w:rPr>
          <w:color w:val="auto"/>
          <w:szCs w:val="21"/>
          <w:highlight w:val="none"/>
        </w:rPr>
      </w:pPr>
      <w:r>
        <w:rPr>
          <w:color w:val="auto"/>
          <w:szCs w:val="21"/>
          <w:highlight w:val="none"/>
        </w:rPr>
        <w:t>本授权委托书声明：  我</w:t>
      </w:r>
      <w:r>
        <w:rPr>
          <w:color w:val="auto"/>
          <w:szCs w:val="21"/>
          <w:highlight w:val="none"/>
          <w:u w:val="single"/>
        </w:rPr>
        <w:t xml:space="preserve">           </w:t>
      </w:r>
      <w:r>
        <w:rPr>
          <w:color w:val="auto"/>
          <w:szCs w:val="21"/>
          <w:highlight w:val="none"/>
        </w:rPr>
        <w:t>（姓名）系</w:t>
      </w:r>
      <w:r>
        <w:rPr>
          <w:color w:val="auto"/>
          <w:szCs w:val="21"/>
          <w:highlight w:val="none"/>
          <w:u w:val="single"/>
        </w:rPr>
        <w:t xml:space="preserve">     （供应商名称）  </w:t>
      </w:r>
      <w:r>
        <w:rPr>
          <w:b/>
          <w:i/>
          <w:color w:val="auto"/>
          <w:szCs w:val="21"/>
          <w:highlight w:val="none"/>
          <w:u w:val="single"/>
        </w:rPr>
        <w:t xml:space="preserve">  </w:t>
      </w:r>
      <w:r>
        <w:rPr>
          <w:color w:val="auto"/>
          <w:szCs w:val="21"/>
          <w:highlight w:val="none"/>
        </w:rPr>
        <w:t>的法定代表人（负责人），现授权委托</w:t>
      </w:r>
      <w:r>
        <w:rPr>
          <w:color w:val="auto"/>
          <w:szCs w:val="21"/>
          <w:highlight w:val="none"/>
          <w:u w:val="single"/>
        </w:rPr>
        <w:t xml:space="preserve">        </w:t>
      </w:r>
      <w:r>
        <w:rPr>
          <w:color w:val="auto"/>
          <w:szCs w:val="21"/>
          <w:highlight w:val="none"/>
        </w:rPr>
        <w:t>（姓名）为我公司授权代表（即代理人），以本公司的名义参加</w:t>
      </w:r>
      <w:r>
        <w:rPr>
          <w:color w:val="auto"/>
          <w:szCs w:val="21"/>
          <w:highlight w:val="none"/>
          <w:u w:val="single"/>
        </w:rPr>
        <w:t xml:space="preserve"> </w:t>
      </w:r>
      <w:r>
        <w:rPr>
          <w:rFonts w:hint="eastAsia"/>
          <w:color w:val="auto"/>
          <w:szCs w:val="21"/>
          <w:highlight w:val="none"/>
          <w:u w:val="single"/>
        </w:rPr>
        <w:t>苏州鼎力招投标咨询服务有限公司</w:t>
      </w:r>
      <w:r>
        <w:rPr>
          <w:color w:val="auto"/>
          <w:szCs w:val="21"/>
          <w:highlight w:val="none"/>
          <w:u w:val="single"/>
        </w:rPr>
        <w:t xml:space="preserve"> </w:t>
      </w:r>
      <w:r>
        <w:rPr>
          <w:color w:val="auto"/>
          <w:szCs w:val="21"/>
          <w:highlight w:val="none"/>
        </w:rPr>
        <w:t>组织实施的编号为</w:t>
      </w:r>
      <w:r>
        <w:rPr>
          <w:color w:val="auto"/>
          <w:szCs w:val="21"/>
          <w:highlight w:val="none"/>
          <w:u w:val="single"/>
        </w:rPr>
        <w:t xml:space="preserve">           </w:t>
      </w:r>
      <w:r>
        <w:rPr>
          <w:color w:val="auto"/>
          <w:szCs w:val="21"/>
          <w:highlight w:val="none"/>
        </w:rPr>
        <w:t>号的磋商活动。授权代表在磋商活动过程中所签署的一切文件和处理与这有关的一切事务，我均予以承认。</w:t>
      </w:r>
    </w:p>
    <w:p w14:paraId="4E3C3FE6">
      <w:pPr>
        <w:spacing w:line="520" w:lineRule="exact"/>
        <w:ind w:firstLine="420" w:firstLineChars="200"/>
        <w:jc w:val="left"/>
        <w:rPr>
          <w:color w:val="auto"/>
          <w:szCs w:val="21"/>
          <w:highlight w:val="none"/>
        </w:rPr>
      </w:pPr>
      <w:r>
        <w:rPr>
          <w:color w:val="auto"/>
          <w:szCs w:val="21"/>
          <w:highlight w:val="none"/>
        </w:rPr>
        <w:t>授权代表在授权委托书有效期内签署的所有文件不因授权委托的撤销而失效，除非有撤销授权委托的书面通知，本授权委托书自磋商活动开始至合同履行完毕止。</w:t>
      </w:r>
    </w:p>
    <w:p w14:paraId="119EA830">
      <w:pPr>
        <w:spacing w:line="520" w:lineRule="exact"/>
        <w:ind w:firstLine="420" w:firstLineChars="200"/>
        <w:jc w:val="left"/>
        <w:rPr>
          <w:color w:val="auto"/>
          <w:szCs w:val="21"/>
          <w:highlight w:val="none"/>
        </w:rPr>
      </w:pPr>
      <w:r>
        <w:rPr>
          <w:color w:val="auto"/>
          <w:szCs w:val="21"/>
          <w:highlight w:val="none"/>
        </w:rPr>
        <w:t>授权代表无转委托权。特此委托。</w:t>
      </w:r>
    </w:p>
    <w:p w14:paraId="38FB59E5">
      <w:pPr>
        <w:spacing w:line="520" w:lineRule="exact"/>
        <w:ind w:firstLine="840" w:firstLineChars="400"/>
        <w:jc w:val="left"/>
        <w:rPr>
          <w:color w:val="auto"/>
          <w:szCs w:val="21"/>
          <w:highlight w:val="none"/>
        </w:rPr>
      </w:pPr>
      <w:r>
        <w:rPr>
          <w:color w:val="auto"/>
          <w:szCs w:val="21"/>
          <w:highlight w:val="none"/>
        </w:rPr>
        <w:t xml:space="preserve">    </w:t>
      </w:r>
    </w:p>
    <w:p w14:paraId="5481F58E">
      <w:pPr>
        <w:spacing w:line="520" w:lineRule="exact"/>
        <w:ind w:firstLine="840" w:firstLineChars="400"/>
        <w:jc w:val="left"/>
        <w:rPr>
          <w:color w:val="auto"/>
          <w:szCs w:val="21"/>
          <w:highlight w:val="none"/>
        </w:rPr>
      </w:pPr>
      <w:r>
        <w:rPr>
          <w:color w:val="auto"/>
          <w:szCs w:val="21"/>
          <w:highlight w:val="none"/>
        </w:rPr>
        <w:t>供应商：（公章）</w:t>
      </w:r>
    </w:p>
    <w:p w14:paraId="6E337C16">
      <w:pPr>
        <w:spacing w:line="520" w:lineRule="exact"/>
        <w:ind w:firstLine="840" w:firstLineChars="400"/>
        <w:jc w:val="left"/>
        <w:rPr>
          <w:color w:val="auto"/>
          <w:szCs w:val="21"/>
          <w:highlight w:val="none"/>
        </w:rPr>
      </w:pPr>
      <w:r>
        <w:rPr>
          <w:color w:val="auto"/>
          <w:szCs w:val="21"/>
          <w:highlight w:val="none"/>
        </w:rPr>
        <w:t>法定代表人（负责人）：（签字或盖章）</w:t>
      </w:r>
    </w:p>
    <w:p w14:paraId="5D139BEA">
      <w:pPr>
        <w:spacing w:line="520" w:lineRule="exact"/>
        <w:ind w:firstLine="840" w:firstLineChars="400"/>
        <w:jc w:val="left"/>
        <w:rPr>
          <w:color w:val="auto"/>
          <w:szCs w:val="21"/>
          <w:highlight w:val="none"/>
        </w:rPr>
      </w:pPr>
      <w:r>
        <w:rPr>
          <w:color w:val="auto"/>
          <w:szCs w:val="21"/>
          <w:highlight w:val="none"/>
        </w:rPr>
        <w:t>代理人：（签字或盖章）</w:t>
      </w:r>
    </w:p>
    <w:p w14:paraId="3214F989">
      <w:pPr>
        <w:spacing w:line="520" w:lineRule="exact"/>
        <w:ind w:firstLine="840" w:firstLineChars="400"/>
        <w:jc w:val="left"/>
        <w:rPr>
          <w:color w:val="auto"/>
          <w:szCs w:val="21"/>
          <w:highlight w:val="none"/>
        </w:rPr>
      </w:pPr>
      <w:r>
        <w:rPr>
          <w:color w:val="auto"/>
          <w:szCs w:val="21"/>
          <w:highlight w:val="none"/>
        </w:rPr>
        <w:t>日期：        年　　  月　　  日</w:t>
      </w:r>
    </w:p>
    <w:p w14:paraId="20311B49">
      <w:pPr>
        <w:jc w:val="left"/>
        <w:rPr>
          <w:b/>
          <w:color w:val="auto"/>
          <w:highlight w:val="none"/>
        </w:rPr>
      </w:pPr>
    </w:p>
    <w:p w14:paraId="792FF3F1">
      <w:pPr>
        <w:spacing w:line="360" w:lineRule="auto"/>
        <w:ind w:firstLine="3896" w:firstLineChars="1617"/>
        <w:jc w:val="left"/>
        <w:rPr>
          <w:b/>
          <w:bCs/>
          <w:color w:val="auto"/>
          <w:sz w:val="24"/>
          <w:highlight w:val="none"/>
        </w:rPr>
      </w:pPr>
    </w:p>
    <w:p w14:paraId="0365F14E">
      <w:pPr>
        <w:spacing w:line="360" w:lineRule="auto"/>
        <w:jc w:val="left"/>
        <w:rPr>
          <w:b/>
          <w:bCs/>
          <w:color w:val="auto"/>
          <w:sz w:val="24"/>
          <w:highlight w:val="none"/>
        </w:rPr>
      </w:pPr>
    </w:p>
    <w:p w14:paraId="05A00587">
      <w:pPr>
        <w:pStyle w:val="13"/>
        <w:outlineLvl w:val="1"/>
        <w:rPr>
          <w:rFonts w:ascii="Times New Roman" w:hAnsi="Times New Roman"/>
          <w:b/>
          <w:bCs/>
          <w:color w:val="auto"/>
          <w:szCs w:val="21"/>
          <w:highlight w:val="none"/>
        </w:rPr>
      </w:pPr>
      <w:r>
        <w:rPr>
          <w:rFonts w:ascii="Times New Roman" w:hAnsi="Times New Roman"/>
          <w:color w:val="auto"/>
          <w:highlight w:val="none"/>
        </w:rPr>
        <w:br w:type="page"/>
      </w:r>
      <w:bookmarkStart w:id="21" w:name="_Toc7536"/>
      <w:bookmarkStart w:id="22" w:name="_Toc22821"/>
      <w:r>
        <w:rPr>
          <w:rFonts w:ascii="Times New Roman" w:hAnsi="Times New Roman"/>
          <w:b/>
          <w:bCs/>
          <w:color w:val="auto"/>
          <w:szCs w:val="21"/>
          <w:highlight w:val="none"/>
        </w:rPr>
        <w:t>格式2：磋商响应承诺书</w:t>
      </w:r>
      <w:bookmarkEnd w:id="21"/>
      <w:bookmarkEnd w:id="22"/>
    </w:p>
    <w:p w14:paraId="2534DCA1">
      <w:pPr>
        <w:spacing w:line="360" w:lineRule="auto"/>
        <w:jc w:val="center"/>
        <w:rPr>
          <w:b/>
          <w:bCs/>
          <w:color w:val="auto"/>
          <w:spacing w:val="20"/>
          <w:szCs w:val="21"/>
          <w:highlight w:val="none"/>
        </w:rPr>
      </w:pPr>
      <w:r>
        <w:rPr>
          <w:b/>
          <w:bCs/>
          <w:color w:val="auto"/>
          <w:szCs w:val="21"/>
          <w:highlight w:val="none"/>
        </w:rPr>
        <w:t>磋商响应承诺书</w:t>
      </w:r>
    </w:p>
    <w:p w14:paraId="32979D8D">
      <w:pPr>
        <w:pStyle w:val="13"/>
        <w:snapToGrid w:val="0"/>
        <w:spacing w:line="400" w:lineRule="exact"/>
        <w:jc w:val="left"/>
        <w:rPr>
          <w:rFonts w:ascii="Times New Roman" w:hAnsi="Times New Roman"/>
          <w:color w:val="auto"/>
          <w:szCs w:val="21"/>
          <w:highlight w:val="none"/>
        </w:rPr>
      </w:pPr>
      <w:r>
        <w:rPr>
          <w:rFonts w:ascii="Times New Roman" w:hAnsi="Times New Roman"/>
          <w:color w:val="auto"/>
          <w:szCs w:val="21"/>
          <w:highlight w:val="none"/>
          <w:u w:val="single"/>
        </w:rPr>
        <w:t>苏州鼎力招投标咨询服务有限公司</w:t>
      </w:r>
      <w:r>
        <w:rPr>
          <w:rFonts w:ascii="Times New Roman" w:hAnsi="Times New Roman"/>
          <w:color w:val="auto"/>
          <w:szCs w:val="21"/>
          <w:highlight w:val="none"/>
        </w:rPr>
        <w:t xml:space="preserve">： </w:t>
      </w:r>
    </w:p>
    <w:p w14:paraId="7258F0E2">
      <w:pPr>
        <w:pStyle w:val="13"/>
        <w:snapToGrid w:val="0"/>
        <w:spacing w:line="400" w:lineRule="exact"/>
        <w:jc w:val="left"/>
        <w:rPr>
          <w:rFonts w:ascii="Times New Roman" w:hAnsi="Times New Roman"/>
          <w:color w:val="auto"/>
          <w:szCs w:val="21"/>
          <w:highlight w:val="none"/>
        </w:rPr>
      </w:pPr>
    </w:p>
    <w:p w14:paraId="37A9E9B6">
      <w:pPr>
        <w:pStyle w:val="77"/>
        <w:tabs>
          <w:tab w:val="left" w:pos="3780"/>
        </w:tabs>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我们收到贵方</w:t>
      </w:r>
      <w:r>
        <w:rPr>
          <w:rFonts w:ascii="Times New Roman" w:hAnsi="Times New Roman" w:eastAsia="宋体"/>
          <w:color w:val="auto"/>
          <w:sz w:val="21"/>
          <w:szCs w:val="21"/>
          <w:highlight w:val="none"/>
          <w:u w:val="single"/>
        </w:rPr>
        <w:t xml:space="preserve">            </w:t>
      </w:r>
      <w:r>
        <w:rPr>
          <w:rFonts w:ascii="Times New Roman" w:hAnsi="Times New Roman" w:eastAsia="宋体"/>
          <w:color w:val="auto"/>
          <w:sz w:val="21"/>
          <w:szCs w:val="21"/>
          <w:highlight w:val="none"/>
        </w:rPr>
        <w:t>号磋商文件，经仔细阅读和研究，我们决定参加磋商活动。</w:t>
      </w:r>
    </w:p>
    <w:p w14:paraId="7506D584">
      <w:pPr>
        <w:pStyle w:val="67"/>
        <w:numPr>
          <w:ilvl w:val="0"/>
          <w:numId w:val="4"/>
        </w:numPr>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愿意按照磋商采购文件的一切要求，</w:t>
      </w:r>
      <w:r>
        <w:rPr>
          <w:rFonts w:hint="eastAsia" w:ascii="宋体" w:hAnsi="宋体" w:eastAsia="宋体" w:cs="宋体"/>
          <w:color w:val="auto"/>
          <w:sz w:val="21"/>
          <w:szCs w:val="21"/>
          <w:highlight w:val="none"/>
          <w:lang w:val="zh-CN" w:eastAsia="zh-CN" w:bidi="ar-SA"/>
        </w:rPr>
        <w:t>包括但不限于人工（包括工资、高温费、奖金、社保、法定节假日等各类加班费、各类保险费等费用）、专用设备、工具、易耗材、办公设备、巡检器材、服装、胸卡、通讯、保险、各种税费、政策性文件规定及合同包含的所有风险、责任等的费用，合同期内不再追加任何费用（包括最低工资、社保调整所增加的费用等）</w:t>
      </w:r>
      <w:r>
        <w:rPr>
          <w:rFonts w:hint="eastAsia" w:hAnsi="宋体" w:eastAsia="宋体" w:cs="宋体"/>
          <w:color w:val="auto"/>
          <w:sz w:val="21"/>
          <w:szCs w:val="21"/>
          <w:highlight w:val="none"/>
          <w:lang w:val="zh-CN" w:eastAsia="zh-CN" w:bidi="ar-SA"/>
        </w:rPr>
        <w:t>。</w:t>
      </w:r>
    </w:p>
    <w:p w14:paraId="42D0148B">
      <w:pPr>
        <w:pStyle w:val="77"/>
        <w:snapToGrid w:val="0"/>
        <w:spacing w:line="460" w:lineRule="exact"/>
        <w:ind w:firstLine="420" w:firstLineChars="200"/>
        <w:jc w:val="lef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2、</w:t>
      </w:r>
      <w:r>
        <w:rPr>
          <w:rFonts w:hint="eastAsia" w:hAnsi="宋体" w:eastAsia="宋体"/>
          <w:color w:val="auto"/>
          <w:sz w:val="21"/>
          <w:szCs w:val="21"/>
          <w:highlight w:val="none"/>
        </w:rPr>
        <w:t>如果我们的磋商响应文件被接受，我们将严格履行磋商文件中规定的每一项要求，按期、按质、按量履行合同的义务。</w:t>
      </w:r>
    </w:p>
    <w:p w14:paraId="6365A35E">
      <w:pPr>
        <w:pStyle w:val="77"/>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3、我们已详细阅读全部磋商文件，包括更正公告(如有)，对磋商文件及更正公告(如有)无任何异议。</w:t>
      </w:r>
    </w:p>
    <w:p w14:paraId="28BAFCE6">
      <w:pPr>
        <w:pStyle w:val="77"/>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4、我们同意按磋商文件中的规定，本响应文件的有效期限自提交响应文件截止时间之日起</w:t>
      </w:r>
      <w:r>
        <w:rPr>
          <w:rFonts w:ascii="Times New Roman" w:hAnsi="Times New Roman" w:eastAsia="宋体"/>
          <w:color w:val="auto"/>
          <w:sz w:val="21"/>
          <w:szCs w:val="21"/>
          <w:highlight w:val="none"/>
          <w:u w:val="single"/>
        </w:rPr>
        <w:t xml:space="preserve"> 90 </w:t>
      </w:r>
      <w:r>
        <w:rPr>
          <w:rFonts w:ascii="Times New Roman" w:hAnsi="Times New Roman" w:eastAsia="宋体"/>
          <w:color w:val="auto"/>
          <w:sz w:val="21"/>
          <w:szCs w:val="21"/>
          <w:highlight w:val="none"/>
        </w:rPr>
        <w:t>天。</w:t>
      </w:r>
    </w:p>
    <w:p w14:paraId="46D5934C">
      <w:pPr>
        <w:pStyle w:val="77"/>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5、我们愿意提供采购单位在磋商文件中要求的相关资料。</w:t>
      </w:r>
    </w:p>
    <w:p w14:paraId="6774D48A">
      <w:pPr>
        <w:pStyle w:val="77"/>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6、我们愿意遵守磋商文件中所列的收费标准。</w:t>
      </w:r>
    </w:p>
    <w:p w14:paraId="1A4F41C8">
      <w:pPr>
        <w:pStyle w:val="77"/>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7、我们承诺该响应文件在磋商开始后的全过程中保持有效，不作任何更改和变动。</w:t>
      </w:r>
    </w:p>
    <w:p w14:paraId="36B6318E">
      <w:pPr>
        <w:pStyle w:val="77"/>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8、我们承诺我公司符合磋商文件供应商须知中“合格供应商的基本、特定条件”的要求，若与真实情况不符，本公司愿意承担由此而产生的一切后果。</w:t>
      </w:r>
    </w:p>
    <w:p w14:paraId="7E2AB59A">
      <w:pPr>
        <w:pStyle w:val="77"/>
        <w:snapToGrid w:val="0"/>
        <w:spacing w:line="400" w:lineRule="exact"/>
        <w:ind w:firstLine="420" w:firstLineChars="200"/>
        <w:jc w:val="lef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9、</w:t>
      </w:r>
      <w:r>
        <w:rPr>
          <w:rFonts w:ascii="Times New Roman" w:hAnsi="Times New Roman" w:eastAsia="宋体"/>
          <w:color w:val="auto"/>
          <w:sz w:val="21"/>
          <w:szCs w:val="21"/>
          <w:highlight w:val="none"/>
        </w:rPr>
        <w:t>所有有关磋商文件的函电，请按下列地址联系：</w:t>
      </w:r>
    </w:p>
    <w:p w14:paraId="0C40C999">
      <w:pPr>
        <w:pStyle w:val="77"/>
        <w:snapToGrid w:val="0"/>
        <w:spacing w:line="40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单位（公章）：                             联系人：</w:t>
      </w:r>
    </w:p>
    <w:p w14:paraId="2F6EFDEF">
      <w:pPr>
        <w:pStyle w:val="77"/>
        <w:snapToGrid w:val="0"/>
        <w:spacing w:line="40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地址：                             邮政编码：</w:t>
      </w:r>
    </w:p>
    <w:p w14:paraId="6B951F50">
      <w:pPr>
        <w:pStyle w:val="77"/>
        <w:snapToGrid w:val="0"/>
        <w:spacing w:line="40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联系电话：                         传真：</w:t>
      </w:r>
    </w:p>
    <w:p w14:paraId="2880AE44">
      <w:pPr>
        <w:pStyle w:val="77"/>
        <w:snapToGrid w:val="0"/>
        <w:spacing w:line="440" w:lineRule="exact"/>
        <w:ind w:left="3400" w:firstLine="425"/>
        <w:jc w:val="left"/>
        <w:rPr>
          <w:rFonts w:ascii="Times New Roman" w:hAnsi="Times New Roman" w:eastAsia="宋体"/>
          <w:color w:val="auto"/>
          <w:sz w:val="21"/>
          <w:szCs w:val="21"/>
          <w:highlight w:val="none"/>
        </w:rPr>
      </w:pPr>
    </w:p>
    <w:p w14:paraId="1E3F280C">
      <w:pPr>
        <w:jc w:val="left"/>
        <w:rPr>
          <w:b/>
          <w:color w:val="auto"/>
          <w:highlight w:val="none"/>
        </w:rPr>
      </w:pPr>
    </w:p>
    <w:p w14:paraId="6B9FED9E">
      <w:pPr>
        <w:jc w:val="left"/>
        <w:rPr>
          <w:b/>
          <w:color w:val="auto"/>
          <w:highlight w:val="none"/>
        </w:rPr>
      </w:pPr>
    </w:p>
    <w:p w14:paraId="28154D5A">
      <w:pPr>
        <w:pStyle w:val="13"/>
        <w:outlineLvl w:val="1"/>
        <w:rPr>
          <w:rFonts w:hint="eastAsia" w:ascii="Times New Roman" w:hAnsi="Times New Roman" w:eastAsia="宋体"/>
          <w:b/>
          <w:bCs/>
          <w:color w:val="auto"/>
          <w:szCs w:val="21"/>
          <w:highlight w:val="none"/>
          <w:lang w:eastAsia="zh-CN"/>
        </w:rPr>
      </w:pPr>
      <w:r>
        <w:rPr>
          <w:rFonts w:ascii="Times New Roman" w:hAnsi="Times New Roman"/>
          <w:color w:val="auto"/>
          <w:highlight w:val="none"/>
        </w:rPr>
        <w:br w:type="page"/>
      </w:r>
      <w:bookmarkStart w:id="23" w:name="_Toc926"/>
      <w:bookmarkStart w:id="24" w:name="_Toc3469"/>
      <w:r>
        <w:rPr>
          <w:rFonts w:ascii="Times New Roman" w:hAnsi="Times New Roman"/>
          <w:b/>
          <w:bCs/>
          <w:color w:val="auto"/>
          <w:szCs w:val="21"/>
          <w:highlight w:val="none"/>
        </w:rPr>
        <w:t>格式3：</w:t>
      </w:r>
      <w:bookmarkEnd w:id="23"/>
      <w:bookmarkEnd w:id="24"/>
      <w:bookmarkStart w:id="25" w:name="_Toc23009"/>
      <w:r>
        <w:rPr>
          <w:rFonts w:hint="eastAsia" w:ascii="Times New Roman" w:hAnsi="Times New Roman"/>
          <w:b/>
          <w:bCs/>
          <w:color w:val="auto"/>
          <w:szCs w:val="21"/>
          <w:highlight w:val="none"/>
          <w:lang w:eastAsia="zh-CN"/>
        </w:rPr>
        <w:t>磋商报价表</w:t>
      </w:r>
    </w:p>
    <w:p w14:paraId="01925541">
      <w:pPr>
        <w:spacing w:line="600" w:lineRule="auto"/>
        <w:jc w:val="center"/>
        <w:rPr>
          <w:rFonts w:hint="eastAsia" w:eastAsia="宋体"/>
          <w:b/>
          <w:bCs/>
          <w:color w:val="auto"/>
          <w:sz w:val="30"/>
          <w:szCs w:val="30"/>
          <w:highlight w:val="none"/>
          <w:lang w:eastAsia="zh-CN"/>
        </w:rPr>
      </w:pPr>
      <w:r>
        <w:rPr>
          <w:rFonts w:hint="eastAsia"/>
          <w:b/>
          <w:bCs/>
          <w:color w:val="auto"/>
          <w:sz w:val="30"/>
          <w:szCs w:val="30"/>
          <w:highlight w:val="none"/>
          <w:lang w:eastAsia="zh-CN"/>
        </w:rPr>
        <w:t>磋商报价表</w:t>
      </w:r>
    </w:p>
    <w:tbl>
      <w:tblPr>
        <w:tblStyle w:val="27"/>
        <w:tblW w:w="97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91"/>
      </w:tblGrid>
      <w:tr w14:paraId="3FFB8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2320" w:type="dxa"/>
            <w:noWrap w:val="0"/>
            <w:vAlign w:val="center"/>
          </w:tcPr>
          <w:p w14:paraId="7A80B734">
            <w:pPr>
              <w:keepNext w:val="0"/>
              <w:keepLines w:val="0"/>
              <w:suppressLineNumbers w:val="0"/>
              <w:spacing w:before="0" w:beforeAutospacing="0" w:after="0" w:afterAutospacing="0" w:line="44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项目名称</w:t>
            </w:r>
          </w:p>
        </w:tc>
        <w:tc>
          <w:tcPr>
            <w:tcW w:w="7391" w:type="dxa"/>
            <w:noWrap w:val="0"/>
            <w:vAlign w:val="center"/>
          </w:tcPr>
          <w:p w14:paraId="39BD4CD8">
            <w:pPr>
              <w:keepNext w:val="0"/>
              <w:keepLines w:val="0"/>
              <w:suppressLineNumbers w:val="0"/>
              <w:spacing w:before="0" w:beforeAutospacing="0" w:after="0" w:afterAutospacing="0" w:line="440" w:lineRule="exact"/>
              <w:ind w:left="0" w:right="0"/>
              <w:jc w:val="center"/>
              <w:rPr>
                <w:rFonts w:hint="eastAsia" w:ascii="宋体" w:hAnsi="宋体" w:eastAsia="宋体"/>
                <w:bCs/>
                <w:color w:val="auto"/>
                <w:szCs w:val="21"/>
                <w:highlight w:val="none"/>
                <w:lang w:eastAsia="zh-CN"/>
              </w:rPr>
            </w:pPr>
          </w:p>
        </w:tc>
      </w:tr>
      <w:tr w14:paraId="65C3D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320" w:type="dxa"/>
            <w:noWrap w:val="0"/>
            <w:vAlign w:val="center"/>
          </w:tcPr>
          <w:p w14:paraId="7805F041">
            <w:pPr>
              <w:keepNext w:val="0"/>
              <w:keepLines w:val="0"/>
              <w:suppressLineNumbers w:val="0"/>
              <w:spacing w:before="0" w:beforeAutospacing="0" w:after="0" w:afterAutospacing="0" w:line="44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项目编号</w:t>
            </w:r>
          </w:p>
        </w:tc>
        <w:tc>
          <w:tcPr>
            <w:tcW w:w="7391" w:type="dxa"/>
            <w:noWrap w:val="0"/>
            <w:vAlign w:val="center"/>
          </w:tcPr>
          <w:p w14:paraId="667A9645">
            <w:pPr>
              <w:keepNext w:val="0"/>
              <w:keepLines w:val="0"/>
              <w:suppressLineNumbers w:val="0"/>
              <w:spacing w:before="0" w:beforeAutospacing="0" w:after="0" w:afterAutospacing="0" w:line="440" w:lineRule="exact"/>
              <w:ind w:left="0" w:right="0"/>
              <w:jc w:val="center"/>
              <w:rPr>
                <w:rFonts w:hint="eastAsia" w:ascii="宋体" w:hAnsi="宋体" w:eastAsia="宋体"/>
                <w:bCs/>
                <w:color w:val="auto"/>
                <w:szCs w:val="21"/>
                <w:highlight w:val="none"/>
                <w:lang w:eastAsia="zh-CN"/>
              </w:rPr>
            </w:pPr>
          </w:p>
        </w:tc>
      </w:tr>
      <w:tr w14:paraId="1887E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320" w:type="dxa"/>
            <w:noWrap w:val="0"/>
            <w:vAlign w:val="center"/>
          </w:tcPr>
          <w:p w14:paraId="069A9E11">
            <w:pPr>
              <w:keepNext w:val="0"/>
              <w:keepLines w:val="0"/>
              <w:suppressLineNumbers w:val="0"/>
              <w:spacing w:before="0" w:beforeAutospacing="0" w:after="0" w:afterAutospacing="0" w:line="440" w:lineRule="exact"/>
              <w:ind w:left="0" w:right="0"/>
              <w:jc w:val="center"/>
              <w:rPr>
                <w:rFonts w:hint="eastAsia" w:ascii="宋体" w:hAnsi="宋体"/>
                <w:bCs/>
                <w:color w:val="auto"/>
                <w:szCs w:val="21"/>
                <w:highlight w:val="none"/>
              </w:rPr>
            </w:pPr>
            <w:r>
              <w:rPr>
                <w:rFonts w:hint="eastAsia" w:ascii="宋体" w:hAnsi="宋体"/>
                <w:color w:val="auto"/>
                <w:szCs w:val="21"/>
                <w:highlight w:val="none"/>
              </w:rPr>
              <w:t>磋商总报价</w:t>
            </w:r>
          </w:p>
        </w:tc>
        <w:tc>
          <w:tcPr>
            <w:tcW w:w="7391" w:type="dxa"/>
            <w:noWrap w:val="0"/>
            <w:vAlign w:val="center"/>
          </w:tcPr>
          <w:p w14:paraId="4D659D72">
            <w:pPr>
              <w:keepNext w:val="0"/>
              <w:keepLines w:val="0"/>
              <w:suppressLineNumbers w:val="0"/>
              <w:spacing w:before="0" w:beforeAutospacing="0" w:after="0" w:afterAutospacing="0" w:line="44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人民币（大写）</w:t>
            </w:r>
            <w:r>
              <w:rPr>
                <w:rFonts w:hint="eastAsia" w:ascii="宋体" w:hAnsi="宋体"/>
                <w:bCs/>
                <w:color w:val="auto"/>
                <w:szCs w:val="21"/>
                <w:highlight w:val="none"/>
                <w:u w:val="single"/>
              </w:rPr>
              <w:t xml:space="preserve">               </w:t>
            </w:r>
            <w:r>
              <w:rPr>
                <w:rFonts w:hint="eastAsia" w:ascii="宋体" w:hAnsi="宋体"/>
                <w:bCs/>
                <w:color w:val="auto"/>
                <w:szCs w:val="21"/>
                <w:highlight w:val="none"/>
              </w:rPr>
              <w:t>元整；   （¥：</w:t>
            </w:r>
            <w:r>
              <w:rPr>
                <w:rFonts w:hint="eastAsia" w:ascii="宋体" w:hAnsi="宋体"/>
                <w:bCs/>
                <w:color w:val="auto"/>
                <w:szCs w:val="21"/>
                <w:highlight w:val="none"/>
                <w:u w:val="single"/>
              </w:rPr>
              <w:t xml:space="preserve">        </w:t>
            </w:r>
            <w:r>
              <w:rPr>
                <w:rFonts w:hint="eastAsia" w:ascii="宋体" w:hAnsi="宋体"/>
                <w:bCs/>
                <w:color w:val="auto"/>
                <w:szCs w:val="21"/>
                <w:highlight w:val="none"/>
              </w:rPr>
              <w:t>.00）</w:t>
            </w:r>
          </w:p>
        </w:tc>
      </w:tr>
    </w:tbl>
    <w:p w14:paraId="7254D3E8">
      <w:pPr>
        <w:pStyle w:val="77"/>
        <w:spacing w:line="420" w:lineRule="exact"/>
        <w:rPr>
          <w:rFonts w:hint="eastAsia" w:ascii="Times New Roman" w:hAnsi="Times New Roman" w:eastAsia="宋体"/>
          <w:color w:val="auto"/>
          <w:sz w:val="21"/>
          <w:szCs w:val="21"/>
          <w:highlight w:val="none"/>
        </w:rPr>
      </w:pPr>
    </w:p>
    <w:p w14:paraId="4C654813">
      <w:pPr>
        <w:pStyle w:val="77"/>
        <w:spacing w:line="420" w:lineRule="exact"/>
        <w:rPr>
          <w:rFonts w:hint="eastAsia" w:ascii="Times New Roman" w:hAnsi="Times New Roman" w:eastAsia="宋体"/>
          <w:color w:val="auto"/>
          <w:sz w:val="21"/>
          <w:szCs w:val="21"/>
          <w:highlight w:val="none"/>
        </w:rPr>
      </w:pPr>
    </w:p>
    <w:p w14:paraId="3364BAA2">
      <w:pPr>
        <w:pStyle w:val="77"/>
        <w:spacing w:line="42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上述报价包含一切由供方承担的费用，各响应单位可参照上述格式自制《磋商响应报价表》。</w:t>
      </w:r>
    </w:p>
    <w:p w14:paraId="2B2EC1BC">
      <w:pPr>
        <w:pStyle w:val="77"/>
        <w:spacing w:line="42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注：报价金额全部采用人民币表示，精确到小数点后2位，第3位四舍五入。</w:t>
      </w:r>
    </w:p>
    <w:p w14:paraId="307DCE6F">
      <w:pPr>
        <w:pStyle w:val="77"/>
        <w:spacing w:line="42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3939C686">
      <w:pPr>
        <w:pStyle w:val="77"/>
        <w:spacing w:line="42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4B9613F1">
      <w:pPr>
        <w:spacing w:line="420" w:lineRule="exact"/>
        <w:rPr>
          <w:color w:val="auto"/>
          <w:szCs w:val="21"/>
          <w:highlight w:val="none"/>
        </w:rPr>
      </w:pPr>
      <w:r>
        <w:rPr>
          <w:color w:val="auto"/>
          <w:szCs w:val="21"/>
          <w:highlight w:val="none"/>
        </w:rPr>
        <w:t>日期：     年   月   日</w:t>
      </w:r>
    </w:p>
    <w:p w14:paraId="4CEB42D7">
      <w:pPr>
        <w:spacing w:line="360" w:lineRule="auto"/>
        <w:rPr>
          <w:rFonts w:ascii="宋体" w:hAnsi="宋体"/>
          <w:b/>
          <w:color w:val="auto"/>
          <w:szCs w:val="21"/>
          <w:highlight w:val="none"/>
        </w:rPr>
      </w:pPr>
      <w:bookmarkStart w:id="26" w:name="_Toc18106"/>
    </w:p>
    <w:p w14:paraId="1486F6CE">
      <w:pPr>
        <w:pStyle w:val="80"/>
        <w:pageBreakBefore/>
        <w:spacing w:line="440" w:lineRule="exact"/>
        <w:outlineLvl w:val="1"/>
        <w:rPr>
          <w:rFonts w:hAnsi="宋体" w:cs="宋体"/>
          <w:b/>
          <w:color w:val="auto"/>
          <w:sz w:val="21"/>
          <w:szCs w:val="21"/>
          <w:highlight w:val="none"/>
          <w:lang w:val="zh-CN"/>
        </w:rPr>
      </w:pPr>
      <w:r>
        <w:rPr>
          <w:rFonts w:hint="eastAsia" w:hAnsi="宋体" w:cs="宋体"/>
          <w:b/>
          <w:bCs/>
          <w:color w:val="auto"/>
          <w:sz w:val="21"/>
          <w:szCs w:val="21"/>
          <w:highlight w:val="none"/>
        </w:rPr>
        <w:t>格式4：</w:t>
      </w:r>
      <w:r>
        <w:rPr>
          <w:rFonts w:hint="eastAsia" w:hAnsi="宋体" w:cs="宋体"/>
          <w:b/>
          <w:bCs/>
          <w:color w:val="auto"/>
          <w:sz w:val="21"/>
          <w:szCs w:val="21"/>
          <w:highlight w:val="none"/>
          <w:lang w:val="en-US" w:eastAsia="zh-CN"/>
        </w:rPr>
        <w:t>分项报价</w:t>
      </w:r>
      <w:r>
        <w:rPr>
          <w:rFonts w:hint="eastAsia" w:hAnsi="宋体" w:cs="宋体"/>
          <w:b/>
          <w:bCs/>
          <w:color w:val="auto"/>
          <w:sz w:val="21"/>
          <w:szCs w:val="21"/>
          <w:highlight w:val="none"/>
        </w:rPr>
        <w:t>表</w:t>
      </w:r>
    </w:p>
    <w:p w14:paraId="0702DDCB">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分项报价</w:t>
      </w:r>
      <w:r>
        <w:rPr>
          <w:rFonts w:hint="eastAsia" w:ascii="宋体" w:hAnsi="宋体" w:cs="宋体"/>
          <w:b/>
          <w:bCs/>
          <w:color w:val="auto"/>
          <w:sz w:val="28"/>
          <w:szCs w:val="28"/>
          <w:highlight w:val="none"/>
        </w:rPr>
        <w:t>表</w:t>
      </w:r>
    </w:p>
    <w:p w14:paraId="3BD6CE8C">
      <w:pPr>
        <w:pStyle w:val="80"/>
        <w:spacing w:line="360" w:lineRule="auto"/>
        <w:ind w:firstLine="420" w:firstLineChars="200"/>
        <w:rPr>
          <w:rFonts w:hAnsi="宋体" w:cs="宋体"/>
          <w:bCs/>
          <w:color w:val="auto"/>
          <w:sz w:val="21"/>
          <w:szCs w:val="21"/>
          <w:highlight w:val="none"/>
          <w:lang w:val="zh-CN"/>
        </w:rPr>
      </w:pPr>
      <w:r>
        <w:rPr>
          <w:rFonts w:hint="eastAsia" w:hAnsi="宋体" w:cs="宋体"/>
          <w:bCs/>
          <w:color w:val="auto"/>
          <w:sz w:val="21"/>
          <w:szCs w:val="21"/>
          <w:highlight w:val="none"/>
        </w:rPr>
        <w:t>项目</w:t>
      </w:r>
      <w:r>
        <w:rPr>
          <w:rFonts w:hAnsi="宋体" w:cs="宋体"/>
          <w:bCs/>
          <w:color w:val="auto"/>
          <w:sz w:val="21"/>
          <w:szCs w:val="21"/>
          <w:highlight w:val="none"/>
          <w:lang w:val="zh-CN"/>
        </w:rPr>
        <w:t>编号：</w:t>
      </w:r>
    </w:p>
    <w:p w14:paraId="1BF7409F">
      <w:pPr>
        <w:pStyle w:val="9"/>
        <w:ind w:firstLine="420"/>
        <w:rPr>
          <w:rFonts w:ascii="宋体" w:hAnsi="宋体" w:cs="宋体"/>
          <w:color w:val="auto"/>
          <w:sz w:val="21"/>
          <w:szCs w:val="21"/>
          <w:highlight w:val="none"/>
        </w:rPr>
      </w:pPr>
      <w:r>
        <w:rPr>
          <w:rFonts w:hint="eastAsia" w:hAnsi="宋体" w:cs="宋体"/>
          <w:bCs/>
          <w:color w:val="auto"/>
          <w:sz w:val="21"/>
          <w:szCs w:val="21"/>
          <w:highlight w:val="none"/>
        </w:rPr>
        <w:t>项目名称：</w:t>
      </w:r>
      <w:r>
        <w:rPr>
          <w:rFonts w:hAnsi="宋体" w:cs="宋体"/>
          <w:bCs/>
          <w:color w:val="auto"/>
          <w:sz w:val="21"/>
          <w:szCs w:val="21"/>
          <w:highlight w:val="none"/>
          <w:lang w:val="zh-CN"/>
        </w:rPr>
        <w:t xml:space="preserve"> </w:t>
      </w:r>
    </w:p>
    <w:tbl>
      <w:tblPr>
        <w:tblStyle w:val="27"/>
        <w:tblW w:w="8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1"/>
        <w:gridCol w:w="2788"/>
        <w:gridCol w:w="1567"/>
        <w:gridCol w:w="1033"/>
        <w:gridCol w:w="2100"/>
      </w:tblGrid>
      <w:tr w14:paraId="70A1E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4B57F578">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序号</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1ACA989E">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名称</w:t>
            </w:r>
          </w:p>
        </w:tc>
        <w:tc>
          <w:tcPr>
            <w:tcW w:w="1567" w:type="dxa"/>
            <w:tcBorders>
              <w:top w:val="single" w:color="auto" w:sz="4" w:space="0"/>
              <w:left w:val="single" w:color="auto" w:sz="4" w:space="0"/>
              <w:bottom w:val="single" w:color="auto" w:sz="4" w:space="0"/>
              <w:right w:val="single" w:color="auto" w:sz="4" w:space="0"/>
            </w:tcBorders>
            <w:noWrap w:val="0"/>
            <w:vAlign w:val="center"/>
          </w:tcPr>
          <w:p w14:paraId="1FF905F5">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单价（元）</w:t>
            </w:r>
          </w:p>
        </w:tc>
        <w:tc>
          <w:tcPr>
            <w:tcW w:w="1033" w:type="dxa"/>
            <w:tcBorders>
              <w:top w:val="single" w:color="auto" w:sz="4" w:space="0"/>
              <w:left w:val="single" w:color="auto" w:sz="4" w:space="0"/>
              <w:bottom w:val="single" w:color="auto" w:sz="4" w:space="0"/>
              <w:right w:val="single" w:color="auto" w:sz="4" w:space="0"/>
            </w:tcBorders>
            <w:noWrap w:val="0"/>
            <w:vAlign w:val="center"/>
          </w:tcPr>
          <w:p w14:paraId="4569B820">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数量</w:t>
            </w:r>
          </w:p>
        </w:tc>
        <w:tc>
          <w:tcPr>
            <w:tcW w:w="2100" w:type="dxa"/>
            <w:tcBorders>
              <w:top w:val="single" w:color="auto" w:sz="4" w:space="0"/>
              <w:left w:val="single" w:color="auto" w:sz="4" w:space="0"/>
              <w:bottom w:val="single" w:color="auto" w:sz="4" w:space="0"/>
              <w:right w:val="single" w:color="auto" w:sz="4" w:space="0"/>
            </w:tcBorders>
            <w:noWrap w:val="0"/>
            <w:vAlign w:val="center"/>
          </w:tcPr>
          <w:p w14:paraId="032B27B5">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总价（元）</w:t>
            </w:r>
          </w:p>
        </w:tc>
      </w:tr>
      <w:tr w14:paraId="7158E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5674BC28">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1</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5BC50E4C">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3D82AF2B">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17855A06">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66C4787E">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r>
      <w:tr w14:paraId="11E16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6797E135">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2</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26041357">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138662D1">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26E2B0F3">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7B98AF30">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r>
      <w:tr w14:paraId="38D86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4AE9616C">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3</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02F6D12E">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777C76C1">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6F25C71A">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0DA88807">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r>
      <w:tr w14:paraId="06A8C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04F1821B">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4</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3EBCC780">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453CE252">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5CF29E06">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0A0F0382">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r>
      <w:tr w14:paraId="52CD5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69AF97B1">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5</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5AF49476">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7CEC792B">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376F6B78">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220CA477">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r>
      <w:tr w14:paraId="33A59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79C76FDE">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5388" w:type="dxa"/>
            <w:gridSpan w:val="3"/>
            <w:tcBorders>
              <w:top w:val="single" w:color="auto" w:sz="4" w:space="0"/>
              <w:left w:val="single" w:color="auto" w:sz="4" w:space="0"/>
              <w:bottom w:val="single" w:color="auto" w:sz="4" w:space="0"/>
              <w:right w:val="single" w:color="auto" w:sz="4" w:space="0"/>
            </w:tcBorders>
            <w:noWrap w:val="0"/>
            <w:vAlign w:val="center"/>
          </w:tcPr>
          <w:p w14:paraId="0ADAB0FF">
            <w:pPr>
              <w:pStyle w:val="6"/>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合计</w:t>
            </w:r>
          </w:p>
        </w:tc>
        <w:tc>
          <w:tcPr>
            <w:tcW w:w="2100" w:type="dxa"/>
            <w:tcBorders>
              <w:top w:val="single" w:color="auto" w:sz="4" w:space="0"/>
              <w:left w:val="single" w:color="auto" w:sz="4" w:space="0"/>
              <w:bottom w:val="single" w:color="auto" w:sz="4" w:space="0"/>
              <w:right w:val="single" w:color="auto" w:sz="4" w:space="0"/>
            </w:tcBorders>
            <w:noWrap w:val="0"/>
            <w:vAlign w:val="center"/>
          </w:tcPr>
          <w:p w14:paraId="3E5789EE">
            <w:pPr>
              <w:pStyle w:val="6"/>
              <w:keepNext w:val="0"/>
              <w:keepLines w:val="0"/>
              <w:suppressLineNumbers w:val="0"/>
              <w:overflowPunct w:val="0"/>
              <w:spacing w:before="0" w:beforeAutospacing="0" w:after="0" w:afterAutospacing="0" w:line="440" w:lineRule="exact"/>
              <w:ind w:left="0" w:right="0" w:firstLine="0"/>
              <w:rPr>
                <w:rFonts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w:t>
            </w:r>
          </w:p>
        </w:tc>
      </w:tr>
      <w:tr w14:paraId="4762F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8629" w:type="dxa"/>
            <w:gridSpan w:val="5"/>
            <w:tcBorders>
              <w:top w:val="single" w:color="auto" w:sz="4" w:space="0"/>
              <w:left w:val="single" w:color="auto" w:sz="4" w:space="0"/>
              <w:bottom w:val="single" w:color="auto" w:sz="4" w:space="0"/>
              <w:right w:val="single" w:color="auto" w:sz="4" w:space="0"/>
            </w:tcBorders>
            <w:noWrap w:val="0"/>
            <w:vAlign w:val="center"/>
          </w:tcPr>
          <w:p w14:paraId="2116852E">
            <w:pPr>
              <w:pStyle w:val="6"/>
              <w:keepNext w:val="0"/>
              <w:keepLines w:val="0"/>
              <w:suppressLineNumbers w:val="0"/>
              <w:overflowPunct w:val="0"/>
              <w:spacing w:before="0" w:beforeAutospacing="0" w:after="0" w:afterAutospacing="0" w:line="440" w:lineRule="exact"/>
              <w:ind w:left="0" w:right="0" w:firstLine="0"/>
              <w:rPr>
                <w:rFonts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合计（人民币）大写金额：</w:t>
            </w:r>
          </w:p>
        </w:tc>
      </w:tr>
    </w:tbl>
    <w:p w14:paraId="26FBAD2E">
      <w:pPr>
        <w:pStyle w:val="80"/>
        <w:spacing w:line="440" w:lineRule="exact"/>
        <w:ind w:firstLine="105" w:firstLineChars="50"/>
        <w:rPr>
          <w:rFonts w:hint="eastAsia" w:hAnsi="宋体" w:cs="宋体"/>
          <w:color w:val="auto"/>
          <w:sz w:val="21"/>
          <w:szCs w:val="21"/>
          <w:highlight w:val="none"/>
        </w:rPr>
      </w:pPr>
    </w:p>
    <w:p w14:paraId="3FF99F81">
      <w:pPr>
        <w:pStyle w:val="80"/>
        <w:spacing w:line="440" w:lineRule="exact"/>
        <w:ind w:firstLine="105" w:firstLineChars="50"/>
        <w:rPr>
          <w:rFonts w:hAnsi="宋体" w:cs="宋体"/>
          <w:color w:val="auto"/>
          <w:sz w:val="21"/>
          <w:szCs w:val="21"/>
          <w:highlight w:val="none"/>
        </w:rPr>
      </w:pPr>
      <w:r>
        <w:rPr>
          <w:rFonts w:hint="eastAsia" w:hAnsi="宋体" w:cs="宋体"/>
          <w:color w:val="auto"/>
          <w:sz w:val="21"/>
          <w:szCs w:val="21"/>
          <w:highlight w:val="none"/>
        </w:rPr>
        <w:t>磋商响应单位：（公章）</w:t>
      </w:r>
    </w:p>
    <w:p w14:paraId="7902F966">
      <w:pPr>
        <w:pStyle w:val="80"/>
        <w:spacing w:line="440" w:lineRule="exact"/>
        <w:ind w:firstLine="105" w:firstLineChars="50"/>
        <w:rPr>
          <w:rFonts w:hAnsi="宋体" w:cs="宋体"/>
          <w:color w:val="auto"/>
          <w:sz w:val="21"/>
          <w:szCs w:val="21"/>
          <w:highlight w:val="none"/>
        </w:rPr>
      </w:pPr>
      <w:r>
        <w:rPr>
          <w:rFonts w:hint="eastAsia" w:hAnsi="宋体" w:cs="宋体"/>
          <w:color w:val="auto"/>
          <w:sz w:val="21"/>
          <w:szCs w:val="21"/>
          <w:highlight w:val="none"/>
        </w:rPr>
        <w:t>法定代表人或代理人：（签字或盖章）</w:t>
      </w:r>
    </w:p>
    <w:p w14:paraId="2DBD1459">
      <w:pPr>
        <w:pStyle w:val="6"/>
        <w:overflowPunct w:val="0"/>
        <w:spacing w:line="440" w:lineRule="exact"/>
        <w:ind w:firstLine="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日期：         年    月     日</w:t>
      </w:r>
    </w:p>
    <w:p w14:paraId="0393D731">
      <w:pP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注：</w:t>
      </w:r>
    </w:p>
    <w:p w14:paraId="5F147881">
      <w:pPr>
        <w:numPr>
          <w:ilvl w:val="0"/>
          <w:numId w:val="5"/>
        </w:numPr>
        <w:spacing w:line="360" w:lineRule="auto"/>
        <w:ind w:left="425" w:hanging="425"/>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本表合计金额应与开标一览表金额一致，否则投标总报价将以开标一览表为准。</w:t>
      </w:r>
    </w:p>
    <w:p w14:paraId="6F59EAE8">
      <w:pPr>
        <w:numPr>
          <w:ilvl w:val="0"/>
          <w:numId w:val="5"/>
        </w:numPr>
        <w:spacing w:line="360" w:lineRule="auto"/>
        <w:ind w:left="425" w:hanging="425"/>
        <w:rPr>
          <w:rFonts w:ascii="Times New Roman" w:hAnsi="Times New Roman" w:eastAsia="宋体" w:cs="Times New Roman"/>
          <w:color w:val="auto"/>
          <w:highlight w:val="none"/>
        </w:rPr>
      </w:pPr>
      <w:r>
        <w:rPr>
          <w:rFonts w:ascii="Times New Roman" w:hAnsi="Times New Roman" w:eastAsia="宋体" w:cs="Times New Roman"/>
          <w:color w:val="auto"/>
          <w:szCs w:val="21"/>
          <w:highlight w:val="none"/>
        </w:rPr>
        <w:t>投标单位必须按照《劳动法》、苏州市吴江区的有关规定，并支付工资（充分考虑本地区最低工资标准）和交纳正常的社会保险、加班费、法定节假日的加班费、高温费等按国家有关规定费用一并包含在中标价中。人员工资标准及加班费、高温费、社保、税金计算均须满足苏州市及吴江区相关政府文件规定的最低标准要求，否则视为非实质性响应采购文件，其投标响应文件将被拒绝。</w:t>
      </w:r>
    </w:p>
    <w:p w14:paraId="339C333D">
      <w:pPr>
        <w:numPr>
          <w:ilvl w:val="0"/>
          <w:numId w:val="6"/>
        </w:numPr>
        <w:adjustRightInd w:val="0"/>
        <w:snapToGrid w:val="0"/>
        <w:spacing w:line="360" w:lineRule="auto"/>
        <w:ind w:firstLine="420" w:firstLineChars="200"/>
        <w:rPr>
          <w:rFonts w:ascii="Times New Roman" w:hAnsi="Times New Roman" w:eastAsia="宋体" w:cs="Times New Roman"/>
          <w:color w:val="auto"/>
          <w:szCs w:val="21"/>
          <w:highlight w:val="none"/>
          <w:lang w:val="zh-CN"/>
        </w:rPr>
      </w:pPr>
      <w:r>
        <w:rPr>
          <w:rFonts w:hint="eastAsia" w:ascii="Times New Roman" w:hAnsi="Times New Roman" w:eastAsia="宋体" w:cs="Times New Roman"/>
          <w:color w:val="auto"/>
          <w:szCs w:val="21"/>
          <w:highlight w:val="none"/>
        </w:rPr>
        <w:t>本项目人员的月工资标准不得低于苏州市最低工资标准要求，并按我国《劳动合同法》要求签订劳动合同。遇到法律法规规定的最低工资调整，其中人工费用相应浮动，由供应商自行承担。</w:t>
      </w:r>
    </w:p>
    <w:p w14:paraId="004CCFD4">
      <w:pPr>
        <w:numPr>
          <w:ilvl w:val="0"/>
          <w:numId w:val="6"/>
        </w:numPr>
        <w:adjustRightInd w:val="0"/>
        <w:snapToGrid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节假日加班工资按劳动法规定执行。(每年国定假为1</w:t>
      </w:r>
      <w:r>
        <w:rPr>
          <w:rFonts w:hint="eastAsia" w:ascii="Times New Roman" w:hAnsi="Times New Roman" w:eastAsia="宋体" w:cs="Times New Roman"/>
          <w:color w:val="auto"/>
          <w:szCs w:val="21"/>
          <w:highlight w:val="none"/>
          <w:lang w:val="en-US" w:eastAsia="zh-CN"/>
        </w:rPr>
        <w:t>3</w:t>
      </w:r>
      <w:r>
        <w:rPr>
          <w:rFonts w:ascii="Times New Roman" w:hAnsi="Times New Roman" w:eastAsia="宋体" w:cs="Times New Roman"/>
          <w:color w:val="auto"/>
          <w:szCs w:val="21"/>
          <w:highlight w:val="none"/>
        </w:rPr>
        <w:t>天，双休日为52周，国假日加班工资为三倍，双休日加班工资为二倍</w:t>
      </w:r>
      <w:r>
        <w:rPr>
          <w:rFonts w:ascii="Times New Roman" w:hAnsi="Times New Roman" w:eastAsia="宋体" w:cs="Times New Roman"/>
          <w:color w:val="auto"/>
          <w:szCs w:val="21"/>
          <w:highlight w:val="none"/>
          <w:lang w:val="zh-CN"/>
        </w:rPr>
        <w:t>)。</w:t>
      </w:r>
    </w:p>
    <w:p w14:paraId="1B7419D0">
      <w:pPr>
        <w:spacing w:line="360" w:lineRule="auto"/>
        <w:jc w:val="both"/>
        <w:rPr>
          <w:b/>
          <w:bCs/>
          <w:color w:val="auto"/>
          <w:szCs w:val="21"/>
          <w:highlight w:val="none"/>
        </w:rPr>
      </w:pPr>
      <w:r>
        <w:rPr>
          <w:rFonts w:ascii="Times New Roman" w:hAnsi="Times New Roman" w:eastAsia="宋体" w:cs="Times New Roman"/>
          <w:color w:val="auto"/>
          <w:szCs w:val="21"/>
          <w:highlight w:val="none"/>
        </w:rPr>
        <w:t>非超龄人员高温费（服务期限涉及6月、7月、8月、9月）</w:t>
      </w:r>
      <w:r>
        <w:rPr>
          <w:rFonts w:hint="eastAsia" w:cs="Times New Roman"/>
          <w:color w:val="auto"/>
          <w:szCs w:val="21"/>
          <w:highlight w:val="none"/>
          <w:lang w:eastAsia="zh-CN"/>
        </w:rPr>
        <w:t>：</w:t>
      </w:r>
      <w:r>
        <w:rPr>
          <w:rFonts w:hint="eastAsia" w:ascii="Times New Roman" w:hAnsi="Times New Roman" w:eastAsia="宋体" w:cs="Times New Roman"/>
          <w:color w:val="auto"/>
          <w:szCs w:val="21"/>
          <w:highlight w:val="none"/>
        </w:rPr>
        <w:t>室外工作人员，约百分之二十（</w:t>
      </w:r>
      <w:r>
        <w:rPr>
          <w:rFonts w:hint="eastAsia" w:cs="Times New Roman"/>
          <w:color w:val="auto"/>
          <w:szCs w:val="21"/>
          <w:highlight w:val="none"/>
          <w:lang w:val="en-US" w:eastAsia="zh-CN"/>
        </w:rPr>
        <w:t>8</w:t>
      </w:r>
      <w:r>
        <w:rPr>
          <w:rFonts w:hint="eastAsia" w:ascii="Times New Roman" w:hAnsi="Times New Roman" w:eastAsia="宋体" w:cs="Times New Roman"/>
          <w:color w:val="auto"/>
          <w:szCs w:val="21"/>
          <w:highlight w:val="none"/>
        </w:rPr>
        <w:t>人）</w:t>
      </w:r>
      <w:r>
        <w:rPr>
          <w:rFonts w:ascii="Times New Roman" w:hAnsi="Times New Roman" w:eastAsia="宋体" w:cs="Times New Roman"/>
          <w:color w:val="auto"/>
          <w:szCs w:val="21"/>
          <w:highlight w:val="none"/>
        </w:rPr>
        <w:t>人</w:t>
      </w:r>
      <w:r>
        <w:rPr>
          <w:rFonts w:hint="eastAsia" w:cs="Times New Roman"/>
          <w:color w:val="auto"/>
          <w:szCs w:val="21"/>
          <w:highlight w:val="none"/>
          <w:lang w:val="en-US" w:eastAsia="zh-CN"/>
        </w:rPr>
        <w:t>员</w:t>
      </w:r>
      <w:r>
        <w:rPr>
          <w:rFonts w:hint="eastAsia" w:ascii="Times New Roman" w:hAnsi="Times New Roman" w:eastAsia="宋体" w:cs="Times New Roman"/>
          <w:color w:val="auto"/>
          <w:szCs w:val="21"/>
          <w:highlight w:val="none"/>
          <w:lang w:val="en-US" w:eastAsia="zh-CN"/>
        </w:rPr>
        <w:t>每月</w:t>
      </w:r>
      <w:r>
        <w:rPr>
          <w:rFonts w:ascii="Times New Roman" w:hAnsi="Times New Roman" w:eastAsia="宋体" w:cs="Times New Roman"/>
          <w:color w:val="auto"/>
          <w:szCs w:val="21"/>
          <w:highlight w:val="none"/>
        </w:rPr>
        <w:t>不低于300元。</w:t>
      </w:r>
      <w:r>
        <w:rPr>
          <w:b/>
          <w:bCs/>
          <w:color w:val="auto"/>
          <w:szCs w:val="21"/>
          <w:highlight w:val="none"/>
        </w:rPr>
        <w:br w:type="page"/>
      </w:r>
      <w:r>
        <w:rPr>
          <w:b/>
          <w:bCs/>
          <w:color w:val="auto"/>
          <w:szCs w:val="21"/>
          <w:highlight w:val="none"/>
        </w:rPr>
        <w:t>格式</w:t>
      </w:r>
      <w:r>
        <w:rPr>
          <w:rFonts w:hint="eastAsia"/>
          <w:b/>
          <w:bCs/>
          <w:color w:val="auto"/>
          <w:szCs w:val="21"/>
          <w:highlight w:val="none"/>
          <w:lang w:val="en-US" w:eastAsia="zh-CN"/>
        </w:rPr>
        <w:t>5</w:t>
      </w:r>
      <w:r>
        <w:rPr>
          <w:b/>
          <w:bCs/>
          <w:color w:val="auto"/>
          <w:szCs w:val="21"/>
          <w:highlight w:val="none"/>
        </w:rPr>
        <w:t>：</w:t>
      </w:r>
      <w:bookmarkEnd w:id="25"/>
      <w:bookmarkEnd w:id="26"/>
      <w:r>
        <w:rPr>
          <w:b/>
          <w:bCs/>
          <w:color w:val="auto"/>
          <w:szCs w:val="21"/>
          <w:highlight w:val="none"/>
        </w:rPr>
        <w:t>服务条款偏离表</w:t>
      </w:r>
      <w:r>
        <w:rPr>
          <w:rFonts w:hint="eastAsia" w:cs="宋体"/>
          <w:b/>
          <w:bCs/>
          <w:color w:val="auto"/>
          <w:szCs w:val="21"/>
          <w:highlight w:val="none"/>
        </w:rPr>
        <w:t>、商务条款偏离表</w:t>
      </w:r>
    </w:p>
    <w:p w14:paraId="64356E91">
      <w:pPr>
        <w:spacing w:before="156" w:beforeLines="50" w:after="468" w:afterLines="150" w:line="360" w:lineRule="auto"/>
        <w:jc w:val="center"/>
        <w:rPr>
          <w:b/>
          <w:bCs/>
          <w:color w:val="auto"/>
          <w:spacing w:val="20"/>
          <w:szCs w:val="21"/>
          <w:highlight w:val="none"/>
        </w:rPr>
      </w:pPr>
      <w:r>
        <w:rPr>
          <w:b/>
          <w:bCs/>
          <w:color w:val="auto"/>
          <w:spacing w:val="20"/>
          <w:szCs w:val="21"/>
          <w:highlight w:val="none"/>
        </w:rPr>
        <w:t>服务条款偏离表</w:t>
      </w:r>
    </w:p>
    <w:p w14:paraId="73656992">
      <w:pPr>
        <w:spacing w:line="360" w:lineRule="auto"/>
        <w:rPr>
          <w:color w:val="auto"/>
          <w:szCs w:val="21"/>
          <w:highlight w:val="none"/>
        </w:rPr>
      </w:pPr>
      <w:r>
        <w:rPr>
          <w:color w:val="auto"/>
          <w:szCs w:val="21"/>
          <w:highlight w:val="none"/>
        </w:rPr>
        <w:t>项目名称：</w:t>
      </w:r>
    </w:p>
    <w:p w14:paraId="0CC2869E">
      <w:pPr>
        <w:spacing w:line="360" w:lineRule="auto"/>
        <w:rPr>
          <w:color w:val="auto"/>
          <w:szCs w:val="21"/>
          <w:highlight w:val="none"/>
          <w:u w:val="single"/>
        </w:rPr>
      </w:pPr>
      <w:r>
        <w:rPr>
          <w:color w:val="auto"/>
          <w:szCs w:val="21"/>
          <w:highlight w:val="none"/>
        </w:rPr>
        <w:t>项目编号：</w:t>
      </w:r>
    </w:p>
    <w:tbl>
      <w:tblPr>
        <w:tblStyle w:val="27"/>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727"/>
        <w:gridCol w:w="1418"/>
        <w:gridCol w:w="1701"/>
      </w:tblGrid>
      <w:tr w14:paraId="6EEB5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noWrap w:val="0"/>
            <w:vAlign w:val="center"/>
          </w:tcPr>
          <w:p w14:paraId="0C539BC6">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序号</w:t>
            </w:r>
          </w:p>
        </w:tc>
        <w:tc>
          <w:tcPr>
            <w:tcW w:w="1690" w:type="dxa"/>
            <w:noWrap w:val="0"/>
            <w:vAlign w:val="center"/>
          </w:tcPr>
          <w:p w14:paraId="4168BD41">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名称</w:t>
            </w:r>
          </w:p>
        </w:tc>
        <w:tc>
          <w:tcPr>
            <w:tcW w:w="2727" w:type="dxa"/>
            <w:noWrap w:val="0"/>
            <w:vAlign w:val="center"/>
          </w:tcPr>
          <w:p w14:paraId="1C1E9991">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磋商文件服务要求</w:t>
            </w:r>
          </w:p>
        </w:tc>
        <w:tc>
          <w:tcPr>
            <w:tcW w:w="1418" w:type="dxa"/>
            <w:noWrap w:val="0"/>
            <w:vAlign w:val="center"/>
          </w:tcPr>
          <w:p w14:paraId="38BFA6B9">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响应文件响应情况</w:t>
            </w:r>
          </w:p>
        </w:tc>
        <w:tc>
          <w:tcPr>
            <w:tcW w:w="1701" w:type="dxa"/>
            <w:noWrap w:val="0"/>
            <w:vAlign w:val="center"/>
          </w:tcPr>
          <w:p w14:paraId="78B45B80">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偏离说明</w:t>
            </w:r>
          </w:p>
        </w:tc>
      </w:tr>
      <w:tr w14:paraId="27F76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D7319AD">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11140DE9">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604E76FE">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452645E6">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15FE4338">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5F5D1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0085650">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239F17A5">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6DA52795">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3B674C46">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14409B88">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2EABD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0ACB886B">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4BEE2198">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4C3D239D">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1A726343">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18C3DA57">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6BF4D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07DB2303">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0B023808">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1B7A20C0">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28A84AF3">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543B1408">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1F51C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17A031E">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2928E5E9">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0112149E">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7BDFB20D">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24DC2CA1">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5DCCD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68C2942">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2E401263">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40A0DD16">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6559D5E1">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48CD8915">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26A8E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74BB2F9">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2A25A83B">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382E3BEB">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508F497E">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5CCB437A">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bl>
    <w:p w14:paraId="01E1A1A3">
      <w:pPr>
        <w:spacing w:line="360" w:lineRule="auto"/>
        <w:rPr>
          <w:b/>
          <w:color w:val="auto"/>
          <w:szCs w:val="21"/>
          <w:highlight w:val="none"/>
        </w:rPr>
      </w:pPr>
      <w:r>
        <w:rPr>
          <w:b/>
          <w:color w:val="auto"/>
          <w:szCs w:val="21"/>
          <w:highlight w:val="none"/>
        </w:rPr>
        <w:t>说明：</w:t>
      </w:r>
    </w:p>
    <w:p w14:paraId="1AE38E1B">
      <w:pPr>
        <w:adjustRightInd w:val="0"/>
        <w:spacing w:line="360" w:lineRule="auto"/>
        <w:jc w:val="left"/>
        <w:textAlignment w:val="baseline"/>
        <w:rPr>
          <w:color w:val="auto"/>
          <w:kern w:val="0"/>
          <w:szCs w:val="21"/>
          <w:highlight w:val="none"/>
        </w:rPr>
      </w:pPr>
      <w:r>
        <w:rPr>
          <w:color w:val="auto"/>
          <w:kern w:val="0"/>
          <w:szCs w:val="21"/>
          <w:highlight w:val="none"/>
        </w:rPr>
        <w:t>1、服务条款内容主要是针对响应文件有关的服务要求等内容。</w:t>
      </w:r>
    </w:p>
    <w:p w14:paraId="426C62C1">
      <w:pPr>
        <w:adjustRightInd w:val="0"/>
        <w:spacing w:line="360" w:lineRule="auto"/>
        <w:jc w:val="left"/>
        <w:textAlignment w:val="baseline"/>
        <w:rPr>
          <w:color w:val="auto"/>
          <w:kern w:val="0"/>
          <w:szCs w:val="21"/>
          <w:highlight w:val="none"/>
        </w:rPr>
      </w:pPr>
      <w:r>
        <w:rPr>
          <w:color w:val="auto"/>
          <w:kern w:val="0"/>
          <w:szCs w:val="21"/>
          <w:highlight w:val="none"/>
        </w:rPr>
        <w:t>2、无偏离应在本表“响应文件响应情况”栏注明“无服务条款偏离”的字样。</w:t>
      </w:r>
    </w:p>
    <w:p w14:paraId="5EEB304B">
      <w:pPr>
        <w:spacing w:line="360" w:lineRule="auto"/>
        <w:rPr>
          <w:color w:val="auto"/>
          <w:szCs w:val="21"/>
          <w:highlight w:val="none"/>
        </w:rPr>
      </w:pPr>
    </w:p>
    <w:p w14:paraId="4F1BB113">
      <w:pPr>
        <w:pStyle w:val="77"/>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629F1CE2">
      <w:pPr>
        <w:pStyle w:val="77"/>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27D1E722">
      <w:pPr>
        <w:spacing w:line="360" w:lineRule="auto"/>
        <w:rPr>
          <w:color w:val="auto"/>
          <w:szCs w:val="21"/>
          <w:highlight w:val="none"/>
        </w:rPr>
      </w:pPr>
      <w:r>
        <w:rPr>
          <w:color w:val="auto"/>
          <w:szCs w:val="21"/>
          <w:highlight w:val="none"/>
        </w:rPr>
        <w:t>日期：     年   月   日</w:t>
      </w:r>
    </w:p>
    <w:p w14:paraId="78928CBD">
      <w:pPr>
        <w:spacing w:line="360" w:lineRule="auto"/>
        <w:rPr>
          <w:color w:val="auto"/>
          <w:szCs w:val="21"/>
          <w:highlight w:val="none"/>
        </w:rPr>
      </w:pPr>
    </w:p>
    <w:p w14:paraId="293B1470">
      <w:pP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 </w:t>
      </w:r>
    </w:p>
    <w:p w14:paraId="5C145D3E">
      <w:pPr>
        <w:spacing w:before="156" w:beforeLines="50" w:after="468" w:afterLines="150" w:line="360" w:lineRule="auto"/>
        <w:jc w:val="center"/>
        <w:rPr>
          <w:rFonts w:ascii="宋体" w:hAnsi="宋体" w:cs="宋体"/>
          <w:b/>
          <w:bCs/>
          <w:color w:val="auto"/>
          <w:spacing w:val="20"/>
          <w:szCs w:val="21"/>
          <w:highlight w:val="none"/>
        </w:rPr>
      </w:pPr>
      <w:bookmarkStart w:id="27" w:name="_Toc4363"/>
      <w:bookmarkStart w:id="28" w:name="_Toc21456"/>
      <w:r>
        <w:rPr>
          <w:rFonts w:ascii="宋体" w:hAnsi="宋体" w:cs="宋体"/>
          <w:b/>
          <w:bCs/>
          <w:color w:val="auto"/>
          <w:spacing w:val="20"/>
          <w:szCs w:val="21"/>
          <w:highlight w:val="none"/>
        </w:rPr>
        <w:br w:type="page"/>
      </w:r>
      <w:r>
        <w:rPr>
          <w:rFonts w:hint="eastAsia" w:ascii="宋体" w:hAnsi="宋体" w:cs="宋体"/>
          <w:b/>
          <w:bCs/>
          <w:color w:val="auto"/>
          <w:spacing w:val="20"/>
          <w:szCs w:val="21"/>
          <w:highlight w:val="none"/>
        </w:rPr>
        <w:t>商务条款偏离表</w:t>
      </w:r>
      <w:bookmarkEnd w:id="27"/>
      <w:bookmarkEnd w:id="28"/>
    </w:p>
    <w:p w14:paraId="1D00912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项目名称：</w:t>
      </w:r>
    </w:p>
    <w:p w14:paraId="1CAAE009">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项目编号：</w:t>
      </w:r>
    </w:p>
    <w:tbl>
      <w:tblPr>
        <w:tblStyle w:val="27"/>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155"/>
        <w:gridCol w:w="1559"/>
        <w:gridCol w:w="2127"/>
      </w:tblGrid>
      <w:tr w14:paraId="5BED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noWrap w:val="0"/>
            <w:vAlign w:val="center"/>
          </w:tcPr>
          <w:p w14:paraId="3E328646">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序号</w:t>
            </w:r>
          </w:p>
        </w:tc>
        <w:tc>
          <w:tcPr>
            <w:tcW w:w="1690" w:type="dxa"/>
            <w:noWrap w:val="0"/>
            <w:vAlign w:val="center"/>
          </w:tcPr>
          <w:p w14:paraId="6A199AB5">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名称</w:t>
            </w:r>
          </w:p>
        </w:tc>
        <w:tc>
          <w:tcPr>
            <w:tcW w:w="2155" w:type="dxa"/>
            <w:noWrap w:val="0"/>
            <w:vAlign w:val="center"/>
          </w:tcPr>
          <w:p w14:paraId="03C566E1">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招标文件商务要求</w:t>
            </w:r>
          </w:p>
        </w:tc>
        <w:tc>
          <w:tcPr>
            <w:tcW w:w="1559" w:type="dxa"/>
            <w:noWrap w:val="0"/>
            <w:vAlign w:val="center"/>
          </w:tcPr>
          <w:p w14:paraId="2A3116F0">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投标文件响应情况</w:t>
            </w:r>
          </w:p>
        </w:tc>
        <w:tc>
          <w:tcPr>
            <w:tcW w:w="2127" w:type="dxa"/>
            <w:noWrap w:val="0"/>
            <w:vAlign w:val="center"/>
          </w:tcPr>
          <w:p w14:paraId="45D882C1">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说明</w:t>
            </w:r>
          </w:p>
        </w:tc>
      </w:tr>
      <w:tr w14:paraId="4C581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47059A34">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690" w:type="dxa"/>
            <w:noWrap w:val="0"/>
            <w:vAlign w:val="center"/>
          </w:tcPr>
          <w:p w14:paraId="3629311B">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服务期限</w:t>
            </w:r>
          </w:p>
        </w:tc>
        <w:tc>
          <w:tcPr>
            <w:tcW w:w="2155" w:type="dxa"/>
            <w:noWrap w:val="0"/>
            <w:vAlign w:val="center"/>
          </w:tcPr>
          <w:p w14:paraId="266A2779">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072A4C24">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2BD219B8">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3B0DE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79FC456">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690" w:type="dxa"/>
            <w:noWrap w:val="0"/>
            <w:vAlign w:val="center"/>
          </w:tcPr>
          <w:p w14:paraId="229FC2A8">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付款方式</w:t>
            </w:r>
          </w:p>
        </w:tc>
        <w:tc>
          <w:tcPr>
            <w:tcW w:w="2155" w:type="dxa"/>
            <w:noWrap w:val="0"/>
            <w:vAlign w:val="center"/>
          </w:tcPr>
          <w:p w14:paraId="2F5F4677">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020CDA85">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7E8B5536">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0AC55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B41D569">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690" w:type="dxa"/>
            <w:noWrap w:val="0"/>
            <w:vAlign w:val="center"/>
          </w:tcPr>
          <w:p w14:paraId="7DE63A9F">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合同主要条款</w:t>
            </w:r>
          </w:p>
        </w:tc>
        <w:tc>
          <w:tcPr>
            <w:tcW w:w="2155" w:type="dxa"/>
            <w:noWrap w:val="0"/>
            <w:vAlign w:val="center"/>
          </w:tcPr>
          <w:p w14:paraId="32515FE2">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7F5CCD58">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71330C54">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536CB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245D64C6">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690" w:type="dxa"/>
            <w:noWrap w:val="0"/>
            <w:vAlign w:val="center"/>
          </w:tcPr>
          <w:p w14:paraId="58DEEFFB">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2155" w:type="dxa"/>
            <w:noWrap w:val="0"/>
            <w:vAlign w:val="center"/>
          </w:tcPr>
          <w:p w14:paraId="3F88E31A">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059812A2">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01206414">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7951F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DCCC243">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1690" w:type="dxa"/>
            <w:noWrap w:val="0"/>
            <w:vAlign w:val="center"/>
          </w:tcPr>
          <w:p w14:paraId="41D51D16">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2155" w:type="dxa"/>
            <w:noWrap w:val="0"/>
            <w:vAlign w:val="center"/>
          </w:tcPr>
          <w:p w14:paraId="4C838C70">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74D3549F">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75B12A22">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366BE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8F07BD7">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1690" w:type="dxa"/>
            <w:noWrap w:val="0"/>
            <w:vAlign w:val="center"/>
          </w:tcPr>
          <w:p w14:paraId="4CAC9725">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2155" w:type="dxa"/>
            <w:noWrap w:val="0"/>
            <w:vAlign w:val="center"/>
          </w:tcPr>
          <w:p w14:paraId="26EE451E">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08AC4790">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62C49DC0">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4461E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2CA0FCF">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1690" w:type="dxa"/>
            <w:noWrap w:val="0"/>
            <w:vAlign w:val="center"/>
          </w:tcPr>
          <w:p w14:paraId="79E8F0E7">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2155" w:type="dxa"/>
            <w:noWrap w:val="0"/>
            <w:vAlign w:val="center"/>
          </w:tcPr>
          <w:p w14:paraId="4A8C9C96">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4425FD86">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6105D87B">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bl>
    <w:p w14:paraId="7C7E7DCE">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说明：</w:t>
      </w:r>
    </w:p>
    <w:p w14:paraId="3B4189C5">
      <w:pPr>
        <w:spacing w:line="360" w:lineRule="auto"/>
        <w:rPr>
          <w:rFonts w:ascii="宋体" w:hAnsi="宋体" w:cs="宋体"/>
          <w:color w:val="auto"/>
          <w:szCs w:val="21"/>
          <w:highlight w:val="none"/>
        </w:rPr>
      </w:pPr>
      <w:r>
        <w:rPr>
          <w:rFonts w:hint="eastAsia" w:ascii="宋体" w:hAnsi="宋体" w:cs="宋体"/>
          <w:color w:val="auto"/>
          <w:szCs w:val="21"/>
          <w:highlight w:val="none"/>
        </w:rPr>
        <w:t>1、商务条款内容主要是针对采购文件有关的付款条件、服务期、合同主要条款等内容。</w:t>
      </w:r>
    </w:p>
    <w:p w14:paraId="5C0A3F9E">
      <w:pPr>
        <w:spacing w:line="360" w:lineRule="auto"/>
        <w:rPr>
          <w:b/>
          <w:bCs/>
          <w:color w:val="auto"/>
          <w:szCs w:val="22"/>
          <w:highlight w:val="none"/>
        </w:rPr>
      </w:pPr>
      <w:r>
        <w:rPr>
          <w:rFonts w:hint="eastAsia" w:ascii="宋体" w:hAnsi="宋体" w:cs="宋体"/>
          <w:color w:val="auto"/>
          <w:szCs w:val="21"/>
          <w:highlight w:val="none"/>
        </w:rPr>
        <w:t>2、无偏离应在本表“响应文件响应情况”栏注明“无商务条款偏离”的字样。</w:t>
      </w:r>
    </w:p>
    <w:p w14:paraId="64538CD9">
      <w:pPr>
        <w:spacing w:line="360" w:lineRule="auto"/>
        <w:rPr>
          <w:rFonts w:ascii="宋体" w:hAnsi="宋体" w:cs="宋体"/>
          <w:b/>
          <w:bCs/>
          <w:color w:val="auto"/>
          <w:szCs w:val="21"/>
          <w:highlight w:val="none"/>
        </w:rPr>
      </w:pPr>
    </w:p>
    <w:p w14:paraId="47605DC2">
      <w:pPr>
        <w:pStyle w:val="77"/>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4C7544DE">
      <w:pPr>
        <w:pStyle w:val="77"/>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3A8FC169">
      <w:pPr>
        <w:spacing w:line="360" w:lineRule="auto"/>
        <w:rPr>
          <w:color w:val="auto"/>
          <w:szCs w:val="21"/>
          <w:highlight w:val="none"/>
        </w:rPr>
      </w:pPr>
      <w:r>
        <w:rPr>
          <w:color w:val="auto"/>
          <w:szCs w:val="21"/>
          <w:highlight w:val="none"/>
        </w:rPr>
        <w:t>日期：     年   月   日</w:t>
      </w:r>
    </w:p>
    <w:p w14:paraId="7293FBA8">
      <w:pPr>
        <w:spacing w:line="360" w:lineRule="auto"/>
        <w:rPr>
          <w:rFonts w:ascii="宋体" w:hAnsi="宋体" w:cs="宋体"/>
          <w:b/>
          <w:bCs/>
          <w:color w:val="auto"/>
          <w:szCs w:val="21"/>
          <w:highlight w:val="none"/>
        </w:rPr>
      </w:pPr>
    </w:p>
    <w:p w14:paraId="4371C328">
      <w:pPr>
        <w:spacing w:before="156" w:beforeLines="50" w:after="468" w:afterLines="150" w:line="360" w:lineRule="auto"/>
        <w:jc w:val="left"/>
        <w:rPr>
          <w:color w:val="auto"/>
          <w:kern w:val="0"/>
          <w:szCs w:val="21"/>
          <w:highlight w:val="none"/>
        </w:rPr>
      </w:pPr>
      <w:r>
        <w:rPr>
          <w:color w:val="auto"/>
          <w:kern w:val="0"/>
          <w:szCs w:val="21"/>
          <w:highlight w:val="none"/>
        </w:rPr>
        <w:t xml:space="preserve"> </w:t>
      </w:r>
    </w:p>
    <w:p w14:paraId="073D73EC">
      <w:pPr>
        <w:spacing w:line="440" w:lineRule="exact"/>
        <w:jc w:val="left"/>
        <w:outlineLvl w:val="1"/>
        <w:rPr>
          <w:rFonts w:hint="eastAsia"/>
          <w:b/>
          <w:bCs/>
          <w:color w:val="auto"/>
          <w:highlight w:val="none"/>
        </w:rPr>
      </w:pPr>
      <w:r>
        <w:rPr>
          <w:b/>
          <w:bCs/>
          <w:color w:val="auto"/>
          <w:highlight w:val="none"/>
        </w:rPr>
        <w:br w:type="page"/>
      </w:r>
      <w:r>
        <w:rPr>
          <w:b/>
          <w:bCs/>
          <w:color w:val="auto"/>
          <w:highlight w:val="none"/>
        </w:rPr>
        <w:t>格式</w:t>
      </w:r>
      <w:r>
        <w:rPr>
          <w:rFonts w:hint="eastAsia"/>
          <w:b/>
          <w:bCs/>
          <w:color w:val="auto"/>
          <w:highlight w:val="none"/>
          <w:lang w:val="en-US" w:eastAsia="zh-CN"/>
        </w:rPr>
        <w:t>6</w:t>
      </w:r>
      <w:r>
        <w:rPr>
          <w:rFonts w:hint="eastAsia"/>
          <w:b/>
          <w:bCs/>
          <w:color w:val="auto"/>
          <w:highlight w:val="none"/>
        </w:rPr>
        <w:t>：</w:t>
      </w:r>
      <w:r>
        <w:rPr>
          <w:rFonts w:ascii="Times New Roman" w:hAnsi="Times New Roman"/>
          <w:b/>
          <w:color w:val="auto"/>
          <w:sz w:val="21"/>
          <w:szCs w:val="22"/>
          <w:highlight w:val="none"/>
        </w:rPr>
        <w:t>项目服务人员配置表</w:t>
      </w:r>
    </w:p>
    <w:p w14:paraId="5432E71B">
      <w:pPr>
        <w:spacing w:before="156" w:beforeLines="50" w:after="468" w:afterLines="150" w:line="360" w:lineRule="auto"/>
        <w:jc w:val="center"/>
        <w:rPr>
          <w:rFonts w:hint="eastAsia" w:ascii="Times New Roman" w:hAnsi="Times New Roman" w:eastAsia="宋体" w:cs="Times New Roman"/>
          <w:b/>
          <w:bCs/>
          <w:color w:val="auto"/>
          <w:spacing w:val="20"/>
          <w:szCs w:val="21"/>
          <w:highlight w:val="none"/>
        </w:rPr>
      </w:pPr>
      <w:r>
        <w:rPr>
          <w:rFonts w:ascii="Times New Roman" w:hAnsi="Times New Roman" w:eastAsia="宋体" w:cs="Times New Roman"/>
          <w:b/>
          <w:bCs/>
          <w:color w:val="auto"/>
          <w:spacing w:val="20"/>
          <w:szCs w:val="21"/>
          <w:highlight w:val="none"/>
        </w:rPr>
        <w:t>项目服务人员配置表</w:t>
      </w:r>
    </w:p>
    <w:tbl>
      <w:tblPr>
        <w:tblStyle w:val="27"/>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300"/>
        <w:gridCol w:w="3097"/>
        <w:gridCol w:w="1733"/>
        <w:gridCol w:w="800"/>
        <w:gridCol w:w="1619"/>
      </w:tblGrid>
      <w:tr w14:paraId="6EAA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640" w:type="dxa"/>
            <w:noWrap w:val="0"/>
            <w:vAlign w:val="center"/>
          </w:tcPr>
          <w:p w14:paraId="413C811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序号</w:t>
            </w:r>
          </w:p>
        </w:tc>
        <w:tc>
          <w:tcPr>
            <w:tcW w:w="1300" w:type="dxa"/>
            <w:noWrap w:val="0"/>
            <w:vAlign w:val="center"/>
          </w:tcPr>
          <w:p w14:paraId="1F540B53">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姓名</w:t>
            </w:r>
          </w:p>
        </w:tc>
        <w:tc>
          <w:tcPr>
            <w:tcW w:w="3097" w:type="dxa"/>
            <w:noWrap w:val="0"/>
            <w:vAlign w:val="center"/>
          </w:tcPr>
          <w:p w14:paraId="5A70CB59">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身份证号</w:t>
            </w:r>
          </w:p>
        </w:tc>
        <w:tc>
          <w:tcPr>
            <w:tcW w:w="1733" w:type="dxa"/>
            <w:noWrap w:val="0"/>
            <w:vAlign w:val="center"/>
          </w:tcPr>
          <w:p w14:paraId="18373B0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职称（如有）</w:t>
            </w:r>
          </w:p>
        </w:tc>
        <w:tc>
          <w:tcPr>
            <w:tcW w:w="800" w:type="dxa"/>
            <w:noWrap w:val="0"/>
            <w:vAlign w:val="center"/>
          </w:tcPr>
          <w:p w14:paraId="699D9D2F">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工龄</w:t>
            </w:r>
          </w:p>
        </w:tc>
        <w:tc>
          <w:tcPr>
            <w:tcW w:w="1619" w:type="dxa"/>
            <w:noWrap w:val="0"/>
            <w:vAlign w:val="center"/>
          </w:tcPr>
          <w:p w14:paraId="49C1552D">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本次拟任职务</w:t>
            </w:r>
          </w:p>
        </w:tc>
      </w:tr>
      <w:tr w14:paraId="7F2B3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5E867198">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53EFADA3">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300D87EF">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2E42F95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7251FB40">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01DE0EA2">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714E7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4E512CB5">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4A3A001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472029F8">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05E3FA3B">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5B826152">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1B6D0185">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3808C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62841698">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65131CEA">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7C279450">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3C3F1DE5">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335AF770">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4779A04D">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39ADC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54948915">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4F561A44">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560FD7F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7902BF4E">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6EC4ADF2">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0ABC913B">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3CBDB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2F3465A2">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61CF085F">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22C4CF3D">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79B21B8F">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7BAFA43B">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77907A0B">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bl>
    <w:p w14:paraId="28A3B08B">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注：请按以上格式自制表格填写。</w:t>
      </w:r>
    </w:p>
    <w:p w14:paraId="1BBA456E">
      <w:pPr>
        <w:pStyle w:val="77"/>
        <w:spacing w:line="440" w:lineRule="exact"/>
        <w:rPr>
          <w:rFonts w:ascii="Times New Roman" w:hAnsi="Times New Roman" w:eastAsia="宋体"/>
          <w:color w:val="auto"/>
          <w:sz w:val="21"/>
          <w:szCs w:val="21"/>
          <w:highlight w:val="none"/>
        </w:rPr>
      </w:pPr>
    </w:p>
    <w:p w14:paraId="28706F25">
      <w:pPr>
        <w:pStyle w:val="77"/>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3044BE8E">
      <w:pPr>
        <w:pStyle w:val="77"/>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0CDAE3A2">
      <w:pPr>
        <w:spacing w:line="360" w:lineRule="auto"/>
        <w:rPr>
          <w:color w:val="auto"/>
          <w:szCs w:val="21"/>
          <w:highlight w:val="none"/>
        </w:rPr>
      </w:pPr>
      <w:r>
        <w:rPr>
          <w:color w:val="auto"/>
          <w:szCs w:val="21"/>
          <w:highlight w:val="none"/>
        </w:rPr>
        <w:t>日期：     年   月   日</w:t>
      </w:r>
    </w:p>
    <w:p w14:paraId="136DBA67">
      <w:pPr>
        <w:widowControl/>
        <w:jc w:val="left"/>
        <w:rPr>
          <w:b/>
          <w:bCs/>
          <w:color w:val="auto"/>
          <w:szCs w:val="21"/>
          <w:highlight w:val="none"/>
        </w:rPr>
      </w:pPr>
    </w:p>
    <w:p w14:paraId="695D2678">
      <w:pPr>
        <w:widowControl/>
        <w:jc w:val="left"/>
        <w:rPr>
          <w:b/>
          <w:bCs/>
          <w:color w:val="auto"/>
          <w:szCs w:val="21"/>
          <w:highlight w:val="none"/>
        </w:rPr>
      </w:pPr>
    </w:p>
    <w:p w14:paraId="740CEFCA">
      <w:pPr>
        <w:spacing w:line="360" w:lineRule="auto"/>
        <w:rPr>
          <w:color w:val="auto"/>
          <w:szCs w:val="21"/>
          <w:highlight w:val="none"/>
        </w:rPr>
      </w:pPr>
    </w:p>
    <w:p w14:paraId="1155DAD5">
      <w:pPr>
        <w:pStyle w:val="13"/>
        <w:adjustRightInd w:val="0"/>
        <w:spacing w:line="440" w:lineRule="exact"/>
        <w:jc w:val="left"/>
        <w:textAlignment w:val="baseline"/>
        <w:outlineLvl w:val="1"/>
        <w:rPr>
          <w:rFonts w:hint="eastAsia" w:hAnsi="宋体"/>
          <w:b/>
          <w:color w:val="auto"/>
          <w:szCs w:val="21"/>
          <w:highlight w:val="none"/>
        </w:rPr>
      </w:pPr>
      <w:r>
        <w:rPr>
          <w:b/>
          <w:bCs/>
          <w:color w:val="auto"/>
          <w:highlight w:val="none"/>
        </w:rPr>
        <w:br w:type="page"/>
      </w:r>
      <w:r>
        <w:rPr>
          <w:rFonts w:hint="eastAsia" w:hAnsi="宋体"/>
          <w:b/>
          <w:bCs/>
          <w:color w:val="auto"/>
          <w:szCs w:val="21"/>
          <w:highlight w:val="none"/>
        </w:rPr>
        <w:t>格式</w:t>
      </w:r>
      <w:r>
        <w:rPr>
          <w:rFonts w:hint="eastAsia" w:hAnsi="宋体"/>
          <w:b/>
          <w:bCs/>
          <w:color w:val="auto"/>
          <w:szCs w:val="21"/>
          <w:highlight w:val="none"/>
          <w:lang w:val="en-US" w:eastAsia="zh-CN"/>
        </w:rPr>
        <w:t>7</w:t>
      </w:r>
      <w:r>
        <w:rPr>
          <w:rFonts w:hint="eastAsia" w:hAnsi="宋体"/>
          <w:b/>
          <w:bCs/>
          <w:color w:val="auto"/>
          <w:szCs w:val="21"/>
          <w:highlight w:val="none"/>
        </w:rPr>
        <w:t>：</w:t>
      </w:r>
      <w:r>
        <w:rPr>
          <w:rFonts w:hint="eastAsia" w:hAnsi="宋体"/>
          <w:b/>
          <w:color w:val="auto"/>
          <w:szCs w:val="21"/>
          <w:highlight w:val="none"/>
        </w:rPr>
        <w:t>企业类似业绩一览表</w:t>
      </w:r>
    </w:p>
    <w:p w14:paraId="276C11BB">
      <w:pPr>
        <w:spacing w:before="156" w:beforeLines="50" w:after="156" w:afterLines="50" w:line="440" w:lineRule="exact"/>
        <w:jc w:val="center"/>
        <w:rPr>
          <w:rFonts w:ascii="宋体" w:hAnsi="宋体"/>
          <w:b/>
          <w:color w:val="auto"/>
          <w:szCs w:val="21"/>
          <w:highlight w:val="none"/>
        </w:rPr>
      </w:pPr>
      <w:r>
        <w:rPr>
          <w:rFonts w:hint="eastAsia" w:ascii="宋体" w:hAnsi="宋体"/>
          <w:b/>
          <w:color w:val="auto"/>
          <w:szCs w:val="21"/>
          <w:highlight w:val="none"/>
        </w:rPr>
        <w:t>企业类似业绩一览表</w:t>
      </w:r>
    </w:p>
    <w:tbl>
      <w:tblPr>
        <w:tblStyle w:val="27"/>
        <w:tblW w:w="80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00"/>
        <w:gridCol w:w="1417"/>
        <w:gridCol w:w="1700"/>
        <w:gridCol w:w="1395"/>
        <w:gridCol w:w="1590"/>
        <w:gridCol w:w="1268"/>
      </w:tblGrid>
      <w:tr w14:paraId="447DD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5C023DD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序号</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023B1C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项目名称</w:t>
            </w:r>
          </w:p>
        </w:tc>
        <w:tc>
          <w:tcPr>
            <w:tcW w:w="1700" w:type="dxa"/>
            <w:tcBorders>
              <w:top w:val="single" w:color="auto" w:sz="6" w:space="0"/>
              <w:left w:val="single" w:color="auto" w:sz="6" w:space="0"/>
              <w:bottom w:val="single" w:color="auto" w:sz="6" w:space="0"/>
              <w:right w:val="single" w:color="auto" w:sz="6" w:space="0"/>
            </w:tcBorders>
            <w:noWrap w:val="0"/>
            <w:vAlign w:val="center"/>
          </w:tcPr>
          <w:p w14:paraId="1C1BFE6E">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合同期</w:t>
            </w:r>
          </w:p>
        </w:tc>
        <w:tc>
          <w:tcPr>
            <w:tcW w:w="1395" w:type="dxa"/>
            <w:tcBorders>
              <w:top w:val="single" w:color="auto" w:sz="6" w:space="0"/>
              <w:left w:val="single" w:color="auto" w:sz="6" w:space="0"/>
              <w:bottom w:val="single" w:color="auto" w:sz="6" w:space="0"/>
              <w:right w:val="single" w:color="auto" w:sz="4" w:space="0"/>
            </w:tcBorders>
            <w:noWrap w:val="0"/>
            <w:vAlign w:val="center"/>
          </w:tcPr>
          <w:p w14:paraId="46D275C8">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管理服务内容</w:t>
            </w:r>
          </w:p>
        </w:tc>
        <w:tc>
          <w:tcPr>
            <w:tcW w:w="1590" w:type="dxa"/>
            <w:tcBorders>
              <w:top w:val="single" w:color="auto" w:sz="6" w:space="0"/>
              <w:left w:val="single" w:color="auto" w:sz="4" w:space="0"/>
              <w:bottom w:val="single" w:color="auto" w:sz="6" w:space="0"/>
              <w:right w:val="single" w:color="auto" w:sz="4" w:space="0"/>
            </w:tcBorders>
            <w:noWrap w:val="0"/>
            <w:vAlign w:val="center"/>
          </w:tcPr>
          <w:p w14:paraId="21958D9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合同金额（万元）</w:t>
            </w: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F25DC9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备注</w:t>
            </w:r>
          </w:p>
        </w:tc>
      </w:tr>
      <w:tr w14:paraId="40991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1E310D1A">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DE237DA">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478F1F5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6CF90900">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11B58CC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7CF3B924">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6B57D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2593602C">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2</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F1324E0">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98F679D">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582CA493">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7DF4D82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6CC107C6">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6F727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1901D6E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4BE4FA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166466E4">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47EC79BF">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2E5DCCBA">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63572D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70373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492A6AC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4</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189F7BC">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282B3E6F">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396EF1B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4510E938">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62E15CE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5F3AC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7CF3F69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5</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923F4E7">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F23AF6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5BBA7C4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7FE58D16">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C49BE78">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7DA50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textDirection w:val="tbRlV"/>
            <w:vAlign w:val="center"/>
          </w:tcPr>
          <w:p w14:paraId="6DD3DE7E">
            <w:pPr>
              <w:keepNext w:val="0"/>
              <w:keepLines w:val="0"/>
              <w:suppressLineNumbers w:val="0"/>
              <w:spacing w:before="0" w:beforeAutospacing="0" w:after="0" w:afterAutospacing="0" w:line="440" w:lineRule="exact"/>
              <w:ind w:left="113" w:right="113"/>
              <w:jc w:val="center"/>
              <w:rPr>
                <w:rFonts w:hint="eastAsia" w:ascii="宋体" w:hAnsi="宋体" w:eastAsia="宋体" w:cs="宋体"/>
                <w:color w:val="auto"/>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C57D39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6A264C8">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01A88DFA">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10AB52A1">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30FDB05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2469F3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7F4C5CA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149CC5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A4720A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376CD18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5BD051A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36F9B279">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r>
      <w:tr w14:paraId="39B1C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5A84103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6D3DE6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61A1619">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19F78F5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0C48A27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F9D3B4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r>
    </w:tbl>
    <w:p w14:paraId="2B9229BB">
      <w:pPr>
        <w:pStyle w:val="6"/>
        <w:overflowPunct w:val="0"/>
        <w:spacing w:line="440" w:lineRule="exact"/>
        <w:ind w:firstLine="0"/>
        <w:rPr>
          <w:rFonts w:ascii="宋体" w:hAnsi="宋体" w:eastAsia="宋体"/>
          <w:b/>
          <w:color w:val="auto"/>
          <w:sz w:val="21"/>
          <w:szCs w:val="21"/>
          <w:highlight w:val="none"/>
        </w:rPr>
      </w:pPr>
    </w:p>
    <w:p w14:paraId="4D524554">
      <w:pPr>
        <w:pStyle w:val="77"/>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2EBFA8D9">
      <w:pPr>
        <w:pStyle w:val="77"/>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5333B841">
      <w:pPr>
        <w:spacing w:line="360" w:lineRule="auto"/>
        <w:rPr>
          <w:color w:val="auto"/>
          <w:szCs w:val="21"/>
          <w:highlight w:val="none"/>
        </w:rPr>
      </w:pPr>
      <w:r>
        <w:rPr>
          <w:color w:val="auto"/>
          <w:szCs w:val="21"/>
          <w:highlight w:val="none"/>
        </w:rPr>
        <w:t>日期：     年   月   日</w:t>
      </w:r>
    </w:p>
    <w:p w14:paraId="259B8DA8">
      <w:pPr>
        <w:pStyle w:val="39"/>
        <w:rPr>
          <w:rFonts w:hint="eastAsia"/>
          <w:color w:val="auto"/>
          <w:highlight w:val="none"/>
        </w:rPr>
      </w:pPr>
    </w:p>
    <w:p w14:paraId="6C5A26B7">
      <w:pPr>
        <w:adjustRightInd w:val="0"/>
        <w:snapToGrid w:val="0"/>
        <w:spacing w:line="360" w:lineRule="auto"/>
        <w:jc w:val="left"/>
        <w:outlineLvl w:val="1"/>
        <w:rPr>
          <w:b/>
          <w:bCs/>
          <w:color w:val="auto"/>
          <w:highlight w:val="none"/>
        </w:rPr>
      </w:pPr>
      <w:r>
        <w:rPr>
          <w:b/>
          <w:bCs/>
          <w:color w:val="auto"/>
          <w:highlight w:val="none"/>
        </w:rPr>
        <w:br w:type="page"/>
      </w:r>
      <w:r>
        <w:rPr>
          <w:b/>
          <w:bCs/>
          <w:color w:val="auto"/>
          <w:highlight w:val="none"/>
        </w:rPr>
        <w:t>格式</w:t>
      </w:r>
      <w:r>
        <w:rPr>
          <w:rFonts w:hint="eastAsia"/>
          <w:b/>
          <w:bCs/>
          <w:color w:val="auto"/>
          <w:highlight w:val="none"/>
          <w:lang w:val="en-US" w:eastAsia="zh-CN"/>
        </w:rPr>
        <w:t>8</w:t>
      </w:r>
      <w:r>
        <w:rPr>
          <w:rFonts w:hint="eastAsia"/>
          <w:b/>
          <w:bCs/>
          <w:color w:val="auto"/>
          <w:highlight w:val="none"/>
        </w:rPr>
        <w:t>：</w:t>
      </w:r>
      <w:r>
        <w:rPr>
          <w:b/>
          <w:bCs/>
          <w:color w:val="auto"/>
          <w:highlight w:val="none"/>
        </w:rPr>
        <w:t>服务方案</w:t>
      </w:r>
    </w:p>
    <w:p w14:paraId="719111C4">
      <w:pPr>
        <w:pStyle w:val="9"/>
        <w:ind w:firstLine="562"/>
        <w:jc w:val="center"/>
        <w:rPr>
          <w:b/>
          <w:bCs/>
          <w:color w:val="auto"/>
          <w:highlight w:val="none"/>
        </w:rPr>
      </w:pPr>
      <w:bookmarkStart w:id="29" w:name="gpcItem_pack_1_code_7"/>
      <w:r>
        <w:rPr>
          <w:b/>
          <w:bCs/>
          <w:color w:val="auto"/>
          <w:highlight w:val="none"/>
        </w:rPr>
        <w:t>服务实施方案</w:t>
      </w:r>
      <w:bookmarkEnd w:id="29"/>
    </w:p>
    <w:p w14:paraId="308D582E">
      <w:pPr>
        <w:pStyle w:val="39"/>
        <w:rPr>
          <w:color w:val="auto"/>
          <w:highlight w:val="none"/>
          <w:lang w:val="en-US"/>
        </w:rPr>
      </w:pP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3559A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8522" w:type="dxa"/>
            <w:tcBorders>
              <w:top w:val="single" w:color="auto" w:sz="4" w:space="0"/>
              <w:left w:val="single" w:color="auto" w:sz="4" w:space="0"/>
              <w:bottom w:val="single" w:color="auto" w:sz="4" w:space="0"/>
              <w:right w:val="single" w:color="auto" w:sz="4" w:space="0"/>
            </w:tcBorders>
            <w:noWrap w:val="0"/>
            <w:vAlign w:val="top"/>
          </w:tcPr>
          <w:p w14:paraId="7C2B9B5F">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提示：</w:t>
            </w:r>
          </w:p>
          <w:p w14:paraId="7996F0F1">
            <w:pPr>
              <w:keepNext w:val="0"/>
              <w:keepLines w:val="0"/>
              <w:suppressLineNumbers w:val="0"/>
              <w:tabs>
                <w:tab w:val="left" w:pos="360"/>
              </w:tabs>
              <w:autoSpaceDE w:val="0"/>
              <w:autoSpaceDN w:val="0"/>
              <w:adjustRightInd w:val="0"/>
              <w:spacing w:before="0" w:beforeAutospacing="0" w:after="0" w:afterAutospacing="0" w:line="440" w:lineRule="exact"/>
              <w:ind w:left="360" w:right="0" w:hanging="360"/>
              <w:jc w:val="left"/>
              <w:rPr>
                <w:rFonts w:ascii="宋体" w:hAnsi="宋体" w:eastAsia="宋体" w:cs="宋体"/>
                <w:color w:val="auto"/>
                <w:szCs w:val="21"/>
                <w:highlight w:val="none"/>
                <w:lang w:val="zh-CN"/>
              </w:rPr>
            </w:pPr>
            <w:r>
              <w:rPr>
                <w:rFonts w:ascii="宋体" w:hAnsi="宋体" w:eastAsia="宋体" w:cs="宋体"/>
                <w:color w:val="auto"/>
                <w:szCs w:val="21"/>
                <w:highlight w:val="none"/>
                <w:lang w:val="zh-CN"/>
              </w:rPr>
              <w:t>1</w:t>
            </w:r>
            <w:r>
              <w:rPr>
                <w:rFonts w:hint="eastAsia" w:ascii="宋体" w:hAnsi="宋体" w:eastAsia="宋体" w:cs="宋体"/>
                <w:color w:val="auto"/>
                <w:szCs w:val="21"/>
                <w:highlight w:val="none"/>
                <w:lang w:val="zh-CN"/>
              </w:rPr>
              <w:t>、磋商供应商应针对本项目特点编写成交后拟采取的方案。</w:t>
            </w:r>
          </w:p>
          <w:p w14:paraId="610C37BF">
            <w:pPr>
              <w:keepNext w:val="0"/>
              <w:keepLines w:val="0"/>
              <w:suppressLineNumbers w:val="0"/>
              <w:spacing w:before="0" w:beforeAutospacing="0" w:after="0" w:afterAutospacing="0" w:line="360" w:lineRule="auto"/>
              <w:ind w:left="0" w:right="0"/>
              <w:rPr>
                <w:rFonts w:ascii="Calibri" w:hAnsi="Calibri" w:eastAsia="宋体" w:cs="Times New Roman"/>
                <w:color w:val="auto"/>
                <w:szCs w:val="21"/>
                <w:highlight w:val="none"/>
              </w:rPr>
            </w:pPr>
            <w:r>
              <w:rPr>
                <w:rFonts w:ascii="宋体" w:hAnsi="宋体" w:eastAsia="宋体" w:cs="宋体"/>
                <w:color w:val="auto"/>
                <w:szCs w:val="21"/>
                <w:highlight w:val="none"/>
                <w:lang w:val="zh-CN"/>
              </w:rPr>
              <w:t>2</w:t>
            </w:r>
            <w:r>
              <w:rPr>
                <w:rFonts w:hint="eastAsia" w:ascii="宋体" w:hAnsi="宋体" w:eastAsia="宋体" w:cs="宋体"/>
                <w:color w:val="auto"/>
                <w:szCs w:val="21"/>
                <w:highlight w:val="none"/>
                <w:lang w:val="zh-CN"/>
              </w:rPr>
              <w:t>、磋商供应商可根据自身情况编写，本页不够可另加页附后。</w:t>
            </w:r>
          </w:p>
        </w:tc>
      </w:tr>
      <w:tr w14:paraId="1AE8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8522" w:type="dxa"/>
            <w:tcBorders>
              <w:top w:val="single" w:color="auto" w:sz="4" w:space="0"/>
              <w:left w:val="single" w:color="auto" w:sz="4" w:space="0"/>
              <w:bottom w:val="single" w:color="auto" w:sz="4" w:space="0"/>
              <w:right w:val="single" w:color="auto" w:sz="4" w:space="0"/>
            </w:tcBorders>
            <w:noWrap w:val="0"/>
            <w:vAlign w:val="top"/>
          </w:tcPr>
          <w:p w14:paraId="264086D2">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58F85F6">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14F7BE0A">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A7BECC7">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3E3AD743">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611B4204">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0B4EECAB">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91C35E8">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717C3B84">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716AE09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2B01713">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C758C71">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06AC2AE">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3FC5FC6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66E6DBA5">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03FDC1E0">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B0B8EF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4D0F7B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u w:val="single"/>
              </w:rPr>
            </w:pPr>
            <w:r>
              <w:rPr>
                <w:rFonts w:ascii="Calibri" w:hAnsi="Calibri" w:eastAsia="宋体" w:cs="Times New Roman"/>
                <w:color w:val="auto"/>
                <w:szCs w:val="21"/>
                <w:highlight w:val="none"/>
              </w:rPr>
              <w:t xml:space="preserve">                               单位名称（盖章）：</w:t>
            </w:r>
            <w:r>
              <w:rPr>
                <w:rFonts w:ascii="Calibri" w:hAnsi="Calibri" w:eastAsia="宋体" w:cs="Times New Roman"/>
                <w:color w:val="auto"/>
                <w:szCs w:val="21"/>
                <w:highlight w:val="none"/>
                <w:u w:val="single"/>
              </w:rPr>
              <w:t xml:space="preserve">                       </w:t>
            </w:r>
          </w:p>
          <w:p w14:paraId="4097A75C">
            <w:pPr>
              <w:keepNext w:val="0"/>
              <w:keepLines w:val="0"/>
              <w:suppressLineNumbers w:val="0"/>
              <w:tabs>
                <w:tab w:val="left" w:pos="1320"/>
              </w:tabs>
              <w:spacing w:before="0" w:beforeAutospacing="0" w:after="0" w:afterAutospacing="0" w:line="360" w:lineRule="auto"/>
              <w:ind w:left="0" w:right="0" w:firstLine="1785" w:firstLineChars="850"/>
              <w:rPr>
                <w:rFonts w:ascii="Calibri" w:hAnsi="Calibri" w:eastAsia="宋体" w:cs="Times New Roman"/>
                <w:color w:val="auto"/>
                <w:szCs w:val="21"/>
                <w:highlight w:val="none"/>
                <w:u w:val="single"/>
              </w:rPr>
            </w:pPr>
          </w:p>
          <w:p w14:paraId="75FAE534">
            <w:pPr>
              <w:keepNext w:val="0"/>
              <w:keepLines w:val="0"/>
              <w:suppressLineNumbers w:val="0"/>
              <w:tabs>
                <w:tab w:val="left" w:pos="1320"/>
              </w:tabs>
              <w:spacing w:before="0" w:beforeAutospacing="0" w:after="0" w:afterAutospacing="0" w:line="360" w:lineRule="auto"/>
              <w:ind w:left="0" w:right="0" w:firstLine="3255" w:firstLineChars="1550"/>
              <w:rPr>
                <w:rFonts w:ascii="Calibri" w:hAnsi="Calibri" w:eastAsia="宋体" w:cs="Times New Roman"/>
                <w:bCs/>
                <w:color w:val="auto"/>
                <w:szCs w:val="21"/>
                <w:highlight w:val="none"/>
              </w:rPr>
            </w:pPr>
            <w:r>
              <w:rPr>
                <w:rFonts w:ascii="Calibri" w:hAnsi="Calibri" w:eastAsia="宋体" w:cs="Times New Roman"/>
                <w:bCs/>
                <w:color w:val="auto"/>
                <w:szCs w:val="21"/>
                <w:highlight w:val="none"/>
              </w:rPr>
              <w:t>日期：</w:t>
            </w:r>
          </w:p>
          <w:p w14:paraId="3395207F">
            <w:pPr>
              <w:keepNext w:val="0"/>
              <w:keepLines w:val="0"/>
              <w:suppressLineNumbers w:val="0"/>
              <w:tabs>
                <w:tab w:val="left" w:pos="1320"/>
              </w:tabs>
              <w:spacing w:before="0" w:beforeAutospacing="0" w:after="0" w:afterAutospacing="0" w:line="360" w:lineRule="auto"/>
              <w:ind w:left="0" w:right="0" w:firstLine="210" w:firstLineChars="100"/>
              <w:rPr>
                <w:rFonts w:ascii="Calibri" w:hAnsi="Calibri" w:eastAsia="宋体" w:cs="Times New Roman"/>
                <w:color w:val="auto"/>
                <w:szCs w:val="21"/>
                <w:highlight w:val="none"/>
              </w:rPr>
            </w:pPr>
          </w:p>
        </w:tc>
      </w:tr>
    </w:tbl>
    <w:p w14:paraId="2DB4300A">
      <w:pPr>
        <w:pStyle w:val="39"/>
        <w:ind w:firstLine="0" w:firstLineChars="0"/>
        <w:rPr>
          <w:color w:val="auto"/>
          <w:highlight w:val="none"/>
          <w:lang w:val="en-US"/>
        </w:rPr>
      </w:pPr>
    </w:p>
    <w:p w14:paraId="770170A3">
      <w:pPr>
        <w:spacing w:line="360" w:lineRule="auto"/>
        <w:rPr>
          <w:color w:val="auto"/>
          <w:szCs w:val="22"/>
          <w:highlight w:val="none"/>
        </w:rPr>
      </w:pPr>
    </w:p>
    <w:p w14:paraId="3B7E9051">
      <w:pPr>
        <w:overflowPunct w:val="0"/>
        <w:adjustRightInd w:val="0"/>
        <w:snapToGrid w:val="0"/>
        <w:spacing w:line="440" w:lineRule="exact"/>
        <w:jc w:val="left"/>
        <w:textAlignment w:val="baseline"/>
        <w:outlineLvl w:val="1"/>
        <w:rPr>
          <w:b/>
          <w:color w:val="auto"/>
          <w:kern w:val="0"/>
          <w:szCs w:val="21"/>
          <w:highlight w:val="none"/>
        </w:rPr>
      </w:pPr>
      <w:r>
        <w:rPr>
          <w:b/>
          <w:bCs/>
          <w:color w:val="auto"/>
          <w:highlight w:val="none"/>
        </w:rPr>
        <w:br w:type="page"/>
      </w:r>
      <w:r>
        <w:rPr>
          <w:b/>
          <w:bCs/>
          <w:color w:val="auto"/>
          <w:highlight w:val="none"/>
        </w:rPr>
        <w:t>格式</w:t>
      </w:r>
      <w:r>
        <w:rPr>
          <w:rFonts w:hint="eastAsia"/>
          <w:b/>
          <w:bCs/>
          <w:color w:val="auto"/>
          <w:highlight w:val="none"/>
          <w:lang w:val="en-US" w:eastAsia="zh-CN"/>
        </w:rPr>
        <w:t>9</w:t>
      </w:r>
      <w:r>
        <w:rPr>
          <w:b/>
          <w:bCs/>
          <w:color w:val="auto"/>
          <w:highlight w:val="none"/>
        </w:rPr>
        <w:t>：</w:t>
      </w:r>
      <w:r>
        <w:rPr>
          <w:rFonts w:hint="eastAsia"/>
          <w:b/>
          <w:bCs/>
          <w:color w:val="auto"/>
          <w:highlight w:val="none"/>
          <w:lang w:val="en-US" w:eastAsia="zh-CN"/>
        </w:rPr>
        <w:t>磋商</w:t>
      </w:r>
      <w:r>
        <w:rPr>
          <w:b/>
          <w:color w:val="auto"/>
          <w:kern w:val="0"/>
          <w:szCs w:val="21"/>
          <w:highlight w:val="none"/>
        </w:rPr>
        <w:t>响应单位</w:t>
      </w:r>
      <w:r>
        <w:rPr>
          <w:rFonts w:hint="eastAsia"/>
          <w:b/>
          <w:color w:val="auto"/>
          <w:sz w:val="21"/>
          <w:szCs w:val="21"/>
          <w:highlight w:val="none"/>
          <w:lang w:val="en-US" w:eastAsia="zh-CN"/>
        </w:rPr>
        <w:t>基本</w:t>
      </w:r>
      <w:r>
        <w:rPr>
          <w:b/>
          <w:color w:val="auto"/>
          <w:kern w:val="0"/>
          <w:szCs w:val="21"/>
          <w:highlight w:val="none"/>
        </w:rPr>
        <w:t>情况表</w:t>
      </w:r>
    </w:p>
    <w:p w14:paraId="5FA92893">
      <w:pPr>
        <w:pStyle w:val="39"/>
        <w:ind w:firstLine="422"/>
        <w:jc w:val="center"/>
        <w:rPr>
          <w:color w:val="auto"/>
          <w:sz w:val="21"/>
          <w:szCs w:val="21"/>
          <w:highlight w:val="none"/>
          <w:lang w:val="en-US"/>
        </w:rPr>
      </w:pPr>
      <w:r>
        <w:rPr>
          <w:rFonts w:hint="eastAsia"/>
          <w:b/>
          <w:color w:val="auto"/>
          <w:sz w:val="21"/>
          <w:szCs w:val="21"/>
          <w:highlight w:val="none"/>
          <w:lang w:val="en-US" w:eastAsia="zh-CN"/>
        </w:rPr>
        <w:t>磋商</w:t>
      </w:r>
      <w:r>
        <w:rPr>
          <w:b/>
          <w:color w:val="auto"/>
          <w:sz w:val="21"/>
          <w:szCs w:val="21"/>
          <w:highlight w:val="none"/>
        </w:rPr>
        <w:t>响应单位</w:t>
      </w:r>
      <w:r>
        <w:rPr>
          <w:rFonts w:hint="eastAsia"/>
          <w:b/>
          <w:color w:val="auto"/>
          <w:sz w:val="21"/>
          <w:szCs w:val="21"/>
          <w:highlight w:val="none"/>
          <w:lang w:val="en-US" w:eastAsia="zh-CN"/>
        </w:rPr>
        <w:t>基本</w:t>
      </w:r>
      <w:r>
        <w:rPr>
          <w:b/>
          <w:color w:val="auto"/>
          <w:sz w:val="21"/>
          <w:szCs w:val="21"/>
          <w:highlight w:val="none"/>
        </w:rPr>
        <w:t>情况表</w:t>
      </w:r>
    </w:p>
    <w:p w14:paraId="63C1E021">
      <w:pPr>
        <w:overflowPunct w:val="0"/>
        <w:adjustRightInd w:val="0"/>
        <w:spacing w:line="440" w:lineRule="exact"/>
        <w:ind w:firstLine="420"/>
        <w:jc w:val="left"/>
        <w:textAlignment w:val="baseline"/>
        <w:rPr>
          <w:color w:val="auto"/>
          <w:kern w:val="0"/>
          <w:szCs w:val="21"/>
          <w:highlight w:val="none"/>
        </w:rPr>
      </w:pPr>
      <w:r>
        <w:rPr>
          <w:color w:val="auto"/>
          <w:kern w:val="0"/>
          <w:szCs w:val="21"/>
          <w:highlight w:val="none"/>
        </w:rPr>
        <w:t>单位名称（盖章）</w:t>
      </w:r>
    </w:p>
    <w:tbl>
      <w:tblPr>
        <w:tblStyle w:val="27"/>
        <w:tblW w:w="9073" w:type="dxa"/>
        <w:jc w:val="center"/>
        <w:tblLayout w:type="fixed"/>
        <w:tblCellMar>
          <w:top w:w="0" w:type="dxa"/>
          <w:left w:w="0" w:type="dxa"/>
          <w:bottom w:w="0" w:type="dxa"/>
          <w:right w:w="0" w:type="dxa"/>
        </w:tblCellMar>
      </w:tblPr>
      <w:tblGrid>
        <w:gridCol w:w="2552"/>
        <w:gridCol w:w="2268"/>
        <w:gridCol w:w="1418"/>
        <w:gridCol w:w="2835"/>
      </w:tblGrid>
      <w:tr w14:paraId="720D2E2A">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CD9306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bookmarkStart w:id="30" w:name="_Toc23960"/>
            <w:bookmarkStart w:id="31" w:name="_Toc15575"/>
            <w:r>
              <w:rPr>
                <w:rFonts w:ascii="Times New Roman" w:hAnsi="Times New Roman" w:eastAsia="宋体" w:cs="Times New Roman"/>
                <w:color w:val="auto"/>
                <w:sz w:val="21"/>
                <w:highlight w:val="none"/>
              </w:rPr>
              <w:t>法定代表人</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990678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9F85746">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成立日期</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205D1B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0EAAFC18">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EBF813C">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注册地址</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050A4C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35F19D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注册资金</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A9E8369">
            <w:pPr>
              <w:keepNext w:val="0"/>
              <w:keepLines w:val="0"/>
              <w:suppressLineNumbers w:val="0"/>
              <w:spacing w:before="0" w:beforeAutospacing="0" w:after="0" w:afterAutospacing="0" w:line="360" w:lineRule="auto"/>
              <w:ind w:left="0" w:right="0" w:firstLine="2160"/>
              <w:jc w:val="center"/>
              <w:rPr>
                <w:rFonts w:ascii="Times New Roman" w:hAnsi="Times New Roman" w:eastAsia="宋体" w:cs="Times New Roman"/>
                <w:color w:val="auto"/>
                <w:sz w:val="21"/>
                <w:highlight w:val="none"/>
              </w:rPr>
            </w:pPr>
          </w:p>
        </w:tc>
      </w:tr>
      <w:tr w14:paraId="07875FD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AD6333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经营范围</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3B93C6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6D108A2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18D9888">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实现利润</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1C74D97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年   万元</w:t>
            </w: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9E2D11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员工总人数</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1D41B825">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34DCECD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64DA8D7">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资产总计</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6192DD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万元</w:t>
            </w: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93FAAF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营业收入</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0083B1B">
            <w:pPr>
              <w:keepNext w:val="0"/>
              <w:keepLines w:val="0"/>
              <w:suppressLineNumbers w:val="0"/>
              <w:spacing w:before="0" w:beforeAutospacing="0" w:after="0" w:afterAutospacing="0" w:line="360" w:lineRule="auto"/>
              <w:ind w:left="0" w:right="0"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年   万元</w:t>
            </w:r>
          </w:p>
        </w:tc>
      </w:tr>
      <w:tr w14:paraId="09D3B35C">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3AB8C0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单位简历及内设机构情况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04A0834">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2FC8D94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552EFBF">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单位优势及特长</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C0B20C7">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70040269">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A6F35F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商业信誉和健全的财务会计制度介绍</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9892E7E">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62B50F15">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E2784AD">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履行合同所必需的设备和专业技术能力情况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5725A1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372688DF">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69DB6DD">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依法缴纳税收和社会保障资金情况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342EC6C">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78E3242F">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9BBFFA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参加政府采购活动前三年内，在经营活动中有无重大违法记录</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B43842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0AE33CB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76A434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其他需要说明的情况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ADE51C0">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bl>
    <w:p w14:paraId="7C8803A1">
      <w:pPr>
        <w:spacing w:line="360" w:lineRule="auto"/>
        <w:ind w:left="0" w:firstLine="315"/>
        <w:jc w:val="left"/>
        <w:rPr>
          <w:rFonts w:ascii="Times New Roman" w:hAnsi="Times New Roman"/>
          <w:b/>
          <w:color w:val="auto"/>
          <w:sz w:val="21"/>
          <w:highlight w:val="none"/>
        </w:rPr>
      </w:pPr>
      <w:r>
        <w:rPr>
          <w:rFonts w:ascii="Times New Roman" w:hAnsi="Times New Roman"/>
          <w:color w:val="auto"/>
          <w:sz w:val="21"/>
          <w:highlight w:val="none"/>
        </w:rPr>
        <w:t>注：若事项较多，供应商可根据实际情况另纸说明。</w:t>
      </w:r>
    </w:p>
    <w:p w14:paraId="4187D0E6">
      <w:pPr>
        <w:pStyle w:val="13"/>
        <w:outlineLvl w:val="1"/>
        <w:rPr>
          <w:rFonts w:ascii="Times New Roman" w:hAnsi="Times New Roman"/>
          <w:b/>
          <w:bCs/>
          <w:color w:val="auto"/>
          <w:szCs w:val="21"/>
          <w:highlight w:val="none"/>
        </w:rPr>
      </w:pPr>
      <w:r>
        <w:rPr>
          <w:rFonts w:ascii="Times New Roman" w:hAnsi="Times New Roman"/>
          <w:b/>
          <w:bCs/>
          <w:color w:val="auto"/>
          <w:szCs w:val="21"/>
          <w:highlight w:val="none"/>
        </w:rPr>
        <w:br w:type="page"/>
      </w:r>
      <w:r>
        <w:rPr>
          <w:rFonts w:hint="eastAsia" w:ascii="Times New Roman" w:hAnsi="Times New Roman"/>
          <w:b/>
          <w:bCs/>
          <w:color w:val="auto"/>
          <w:szCs w:val="21"/>
          <w:highlight w:val="none"/>
        </w:rPr>
        <w:t>格式</w:t>
      </w:r>
      <w:r>
        <w:rPr>
          <w:rFonts w:hint="eastAsia" w:ascii="Times New Roman" w:hAnsi="Times New Roman"/>
          <w:b/>
          <w:bCs/>
          <w:color w:val="auto"/>
          <w:szCs w:val="21"/>
          <w:highlight w:val="none"/>
          <w:lang w:val="en-US" w:eastAsia="zh-CN"/>
        </w:rPr>
        <w:t>10</w:t>
      </w:r>
      <w:r>
        <w:rPr>
          <w:rFonts w:ascii="Times New Roman" w:hAnsi="Times New Roman"/>
          <w:b/>
          <w:bCs/>
          <w:color w:val="auto"/>
          <w:szCs w:val="21"/>
          <w:highlight w:val="none"/>
        </w:rPr>
        <w:t>：资格证明文件</w:t>
      </w:r>
      <w:bookmarkEnd w:id="30"/>
      <w:bookmarkEnd w:id="31"/>
    </w:p>
    <w:p w14:paraId="3E3F41CE">
      <w:pPr>
        <w:spacing w:line="400" w:lineRule="exact"/>
        <w:ind w:firstLine="241" w:firstLineChars="100"/>
        <w:jc w:val="center"/>
        <w:rPr>
          <w:b/>
          <w:color w:val="auto"/>
          <w:sz w:val="24"/>
          <w:highlight w:val="none"/>
        </w:rPr>
      </w:pPr>
      <w:r>
        <w:rPr>
          <w:b/>
          <w:color w:val="auto"/>
          <w:sz w:val="24"/>
          <w:highlight w:val="none"/>
        </w:rPr>
        <w:t>关于资格文件的声明函</w:t>
      </w:r>
    </w:p>
    <w:p w14:paraId="23D50C26">
      <w:pPr>
        <w:spacing w:line="400" w:lineRule="exact"/>
        <w:jc w:val="left"/>
        <w:rPr>
          <w:color w:val="auto"/>
          <w:szCs w:val="21"/>
          <w:highlight w:val="none"/>
        </w:rPr>
      </w:pPr>
    </w:p>
    <w:p w14:paraId="4CB36EC5">
      <w:pPr>
        <w:spacing w:line="480" w:lineRule="exact"/>
        <w:ind w:firstLine="420" w:firstLineChars="200"/>
        <w:jc w:val="left"/>
        <w:rPr>
          <w:color w:val="auto"/>
          <w:szCs w:val="21"/>
          <w:highlight w:val="none"/>
        </w:rPr>
      </w:pPr>
      <w:r>
        <w:rPr>
          <w:color w:val="auto"/>
          <w:szCs w:val="21"/>
          <w:highlight w:val="none"/>
          <w:u w:val="single"/>
        </w:rPr>
        <w:t>苏州鼎力招投标咨询服务有限公司</w:t>
      </w:r>
      <w:r>
        <w:rPr>
          <w:color w:val="auto"/>
          <w:szCs w:val="21"/>
          <w:highlight w:val="none"/>
        </w:rPr>
        <w:t>：</w:t>
      </w:r>
    </w:p>
    <w:p w14:paraId="76166D65">
      <w:pPr>
        <w:pStyle w:val="6"/>
        <w:overflowPunct w:val="0"/>
        <w:spacing w:line="400" w:lineRule="exact"/>
        <w:ind w:left="315" w:leftChars="150" w:firstLine="630" w:firstLineChars="300"/>
        <w:rPr>
          <w:rFonts w:eastAsia="宋体"/>
          <w:color w:val="auto"/>
          <w:sz w:val="21"/>
          <w:szCs w:val="21"/>
          <w:highlight w:val="none"/>
        </w:rPr>
      </w:pPr>
      <w:r>
        <w:rPr>
          <w:rFonts w:eastAsia="宋体"/>
          <w:color w:val="auto"/>
          <w:sz w:val="21"/>
          <w:szCs w:val="21"/>
          <w:highlight w:val="none"/>
        </w:rPr>
        <w:t>本公司愿就由贵方组织实施的编号为</w:t>
      </w:r>
      <w:r>
        <w:rPr>
          <w:rFonts w:eastAsia="宋体"/>
          <w:color w:val="auto"/>
          <w:sz w:val="21"/>
          <w:szCs w:val="21"/>
          <w:highlight w:val="none"/>
          <w:u w:val="single"/>
        </w:rPr>
        <w:t xml:space="preserve">                    </w:t>
      </w:r>
      <w:r>
        <w:rPr>
          <w:rFonts w:eastAsia="宋体"/>
          <w:color w:val="auto"/>
          <w:sz w:val="21"/>
          <w:szCs w:val="21"/>
          <w:highlight w:val="none"/>
        </w:rPr>
        <w:t>号的磋商采购活动进行响应。本公司所提交的响应文件中所有关于响应文件、证明和陈述均是真实的、准确的、有效的。若与真实情况不符，本公司愿意承担由此而产生的一切后果。</w:t>
      </w:r>
    </w:p>
    <w:p w14:paraId="26CFA05F">
      <w:pPr>
        <w:spacing w:line="400" w:lineRule="exact"/>
        <w:ind w:firstLine="480"/>
        <w:jc w:val="left"/>
        <w:rPr>
          <w:color w:val="auto"/>
          <w:szCs w:val="21"/>
          <w:highlight w:val="none"/>
        </w:rPr>
      </w:pPr>
    </w:p>
    <w:p w14:paraId="619A14D6">
      <w:pPr>
        <w:spacing w:line="400" w:lineRule="exact"/>
        <w:ind w:firstLine="480"/>
        <w:jc w:val="left"/>
        <w:rPr>
          <w:color w:val="auto"/>
          <w:szCs w:val="21"/>
          <w:highlight w:val="none"/>
        </w:rPr>
      </w:pPr>
    </w:p>
    <w:p w14:paraId="7B32708B">
      <w:pPr>
        <w:spacing w:line="400" w:lineRule="exact"/>
        <w:ind w:firstLine="480"/>
        <w:jc w:val="left"/>
        <w:rPr>
          <w:color w:val="auto"/>
          <w:szCs w:val="21"/>
          <w:highlight w:val="none"/>
        </w:rPr>
      </w:pPr>
    </w:p>
    <w:p w14:paraId="4964CD67">
      <w:pPr>
        <w:spacing w:line="400" w:lineRule="exact"/>
        <w:ind w:firstLine="480"/>
        <w:jc w:val="left"/>
        <w:rPr>
          <w:color w:val="auto"/>
          <w:szCs w:val="21"/>
          <w:highlight w:val="none"/>
        </w:rPr>
      </w:pPr>
    </w:p>
    <w:p w14:paraId="26578C39">
      <w:pPr>
        <w:spacing w:line="400" w:lineRule="exact"/>
        <w:ind w:firstLine="3465" w:firstLineChars="1650"/>
        <w:jc w:val="left"/>
        <w:rPr>
          <w:color w:val="auto"/>
          <w:szCs w:val="21"/>
          <w:highlight w:val="none"/>
        </w:rPr>
      </w:pPr>
      <w:r>
        <w:rPr>
          <w:color w:val="auto"/>
          <w:szCs w:val="21"/>
          <w:highlight w:val="none"/>
        </w:rPr>
        <w:t>（响应单位）法定代表人（负责人）：（签字或盖章）</w:t>
      </w:r>
    </w:p>
    <w:p w14:paraId="5AD0DB6D">
      <w:pPr>
        <w:spacing w:line="400" w:lineRule="exact"/>
        <w:ind w:firstLine="2730" w:firstLineChars="1300"/>
        <w:jc w:val="left"/>
        <w:rPr>
          <w:color w:val="auto"/>
          <w:szCs w:val="21"/>
          <w:highlight w:val="none"/>
        </w:rPr>
      </w:pPr>
    </w:p>
    <w:p w14:paraId="7BC38702">
      <w:pPr>
        <w:spacing w:line="400" w:lineRule="exact"/>
        <w:ind w:firstLine="3465" w:firstLineChars="1650"/>
        <w:jc w:val="left"/>
        <w:rPr>
          <w:color w:val="auto"/>
          <w:szCs w:val="21"/>
          <w:highlight w:val="none"/>
        </w:rPr>
      </w:pPr>
      <w:r>
        <w:rPr>
          <w:color w:val="auto"/>
          <w:szCs w:val="21"/>
          <w:highlight w:val="none"/>
        </w:rPr>
        <w:t>（响应单位）公章：</w:t>
      </w:r>
    </w:p>
    <w:p w14:paraId="3FA55450">
      <w:pPr>
        <w:spacing w:line="400" w:lineRule="exact"/>
        <w:ind w:firstLine="2730" w:firstLineChars="1300"/>
        <w:jc w:val="left"/>
        <w:rPr>
          <w:color w:val="auto"/>
          <w:szCs w:val="21"/>
          <w:highlight w:val="none"/>
        </w:rPr>
      </w:pPr>
    </w:p>
    <w:p w14:paraId="5D9A9CCF">
      <w:pPr>
        <w:spacing w:line="400" w:lineRule="exact"/>
        <w:jc w:val="left"/>
        <w:rPr>
          <w:color w:val="auto"/>
          <w:szCs w:val="21"/>
          <w:highlight w:val="none"/>
        </w:rPr>
      </w:pPr>
    </w:p>
    <w:p w14:paraId="674ED0DE">
      <w:pPr>
        <w:spacing w:line="400" w:lineRule="exact"/>
        <w:ind w:firstLine="5040" w:firstLineChars="2400"/>
        <w:jc w:val="left"/>
        <w:rPr>
          <w:color w:val="auto"/>
          <w:szCs w:val="21"/>
          <w:highlight w:val="none"/>
        </w:rPr>
      </w:pPr>
      <w:r>
        <w:rPr>
          <w:color w:val="auto"/>
          <w:szCs w:val="21"/>
          <w:highlight w:val="none"/>
        </w:rPr>
        <w:t>年  月  日</w:t>
      </w:r>
    </w:p>
    <w:p w14:paraId="5044BC8C">
      <w:pPr>
        <w:spacing w:line="400" w:lineRule="exact"/>
        <w:ind w:firstLine="480"/>
        <w:jc w:val="left"/>
        <w:rPr>
          <w:color w:val="auto"/>
          <w:szCs w:val="21"/>
          <w:highlight w:val="none"/>
        </w:rPr>
      </w:pPr>
    </w:p>
    <w:p w14:paraId="246A4629">
      <w:pPr>
        <w:spacing w:line="400" w:lineRule="exact"/>
        <w:ind w:firstLine="480"/>
        <w:jc w:val="left"/>
        <w:rPr>
          <w:color w:val="auto"/>
          <w:szCs w:val="21"/>
          <w:highlight w:val="none"/>
        </w:rPr>
      </w:pPr>
    </w:p>
    <w:p w14:paraId="214B9A8D">
      <w:pPr>
        <w:spacing w:line="400" w:lineRule="exact"/>
        <w:ind w:firstLine="480"/>
        <w:jc w:val="left"/>
        <w:rPr>
          <w:color w:val="auto"/>
          <w:szCs w:val="21"/>
          <w:highlight w:val="none"/>
        </w:rPr>
      </w:pPr>
    </w:p>
    <w:p w14:paraId="35408F45">
      <w:pPr>
        <w:pStyle w:val="39"/>
        <w:rPr>
          <w:color w:val="auto"/>
          <w:highlight w:val="none"/>
          <w:lang w:val="en-US"/>
        </w:rPr>
      </w:pPr>
    </w:p>
    <w:p w14:paraId="73F075C1">
      <w:pPr>
        <w:pStyle w:val="39"/>
        <w:rPr>
          <w:color w:val="auto"/>
          <w:highlight w:val="none"/>
          <w:lang w:val="en-US"/>
        </w:rPr>
      </w:pPr>
    </w:p>
    <w:p w14:paraId="2D07CE38">
      <w:pPr>
        <w:pStyle w:val="39"/>
        <w:rPr>
          <w:color w:val="auto"/>
          <w:highlight w:val="none"/>
          <w:lang w:val="en-US"/>
        </w:rPr>
      </w:pPr>
    </w:p>
    <w:p w14:paraId="3FFA246C">
      <w:pPr>
        <w:pStyle w:val="39"/>
        <w:rPr>
          <w:color w:val="auto"/>
          <w:highlight w:val="none"/>
          <w:lang w:val="en-US"/>
        </w:rPr>
      </w:pPr>
    </w:p>
    <w:p w14:paraId="71E223DF">
      <w:pPr>
        <w:pStyle w:val="39"/>
        <w:rPr>
          <w:color w:val="auto"/>
          <w:highlight w:val="none"/>
          <w:lang w:val="en-US"/>
        </w:rPr>
      </w:pPr>
    </w:p>
    <w:p w14:paraId="5AB794B8">
      <w:pPr>
        <w:pStyle w:val="39"/>
        <w:rPr>
          <w:color w:val="auto"/>
          <w:highlight w:val="none"/>
          <w:lang w:val="en-US"/>
        </w:rPr>
      </w:pPr>
    </w:p>
    <w:p w14:paraId="2E277987">
      <w:pPr>
        <w:pStyle w:val="39"/>
        <w:rPr>
          <w:color w:val="auto"/>
          <w:highlight w:val="none"/>
          <w:lang w:val="en-US"/>
        </w:rPr>
      </w:pPr>
    </w:p>
    <w:p w14:paraId="044F451B">
      <w:pPr>
        <w:pStyle w:val="39"/>
        <w:rPr>
          <w:color w:val="auto"/>
          <w:highlight w:val="none"/>
          <w:lang w:val="en-US"/>
        </w:rPr>
      </w:pPr>
    </w:p>
    <w:p w14:paraId="4D3E151F">
      <w:pPr>
        <w:pStyle w:val="39"/>
        <w:rPr>
          <w:color w:val="auto"/>
          <w:highlight w:val="none"/>
          <w:lang w:val="en-US"/>
        </w:rPr>
      </w:pPr>
    </w:p>
    <w:p w14:paraId="4E0374A7">
      <w:pPr>
        <w:pStyle w:val="39"/>
        <w:rPr>
          <w:color w:val="auto"/>
          <w:highlight w:val="none"/>
          <w:lang w:val="en-US"/>
        </w:rPr>
      </w:pPr>
    </w:p>
    <w:p w14:paraId="40B6B2CC">
      <w:pPr>
        <w:pStyle w:val="39"/>
        <w:rPr>
          <w:color w:val="auto"/>
          <w:highlight w:val="none"/>
          <w:lang w:val="en-US"/>
        </w:rPr>
      </w:pPr>
    </w:p>
    <w:p w14:paraId="2F63DCF9">
      <w:pPr>
        <w:pStyle w:val="39"/>
        <w:rPr>
          <w:color w:val="auto"/>
          <w:highlight w:val="none"/>
          <w:lang w:val="en-US"/>
        </w:rPr>
      </w:pPr>
    </w:p>
    <w:p w14:paraId="0418EA83">
      <w:pPr>
        <w:pStyle w:val="39"/>
        <w:rPr>
          <w:color w:val="auto"/>
          <w:highlight w:val="none"/>
          <w:lang w:val="en-US"/>
        </w:rPr>
      </w:pPr>
    </w:p>
    <w:p w14:paraId="7EE40247">
      <w:pPr>
        <w:pStyle w:val="39"/>
        <w:rPr>
          <w:color w:val="auto"/>
          <w:highlight w:val="none"/>
          <w:lang w:val="en-US"/>
        </w:rPr>
      </w:pPr>
    </w:p>
    <w:p w14:paraId="0A2AB1AD">
      <w:pPr>
        <w:pStyle w:val="39"/>
        <w:rPr>
          <w:color w:val="auto"/>
          <w:highlight w:val="none"/>
          <w:lang w:val="en-US"/>
        </w:rPr>
      </w:pPr>
    </w:p>
    <w:p w14:paraId="46E926C1">
      <w:pPr>
        <w:pStyle w:val="39"/>
        <w:rPr>
          <w:color w:val="auto"/>
          <w:highlight w:val="none"/>
          <w:lang w:val="en-US"/>
        </w:rPr>
      </w:pPr>
    </w:p>
    <w:p w14:paraId="50EE6468">
      <w:pPr>
        <w:pStyle w:val="39"/>
        <w:rPr>
          <w:color w:val="auto"/>
          <w:highlight w:val="none"/>
          <w:lang w:val="en-US"/>
        </w:rPr>
      </w:pPr>
    </w:p>
    <w:p w14:paraId="5E448696">
      <w:pPr>
        <w:pStyle w:val="39"/>
        <w:rPr>
          <w:color w:val="auto"/>
          <w:highlight w:val="none"/>
          <w:lang w:val="en-US"/>
        </w:rPr>
      </w:pPr>
    </w:p>
    <w:p w14:paraId="5DE58C4A">
      <w:pPr>
        <w:pStyle w:val="39"/>
        <w:rPr>
          <w:color w:val="auto"/>
          <w:highlight w:val="none"/>
          <w:lang w:val="en-US"/>
        </w:rPr>
      </w:pPr>
    </w:p>
    <w:p w14:paraId="10ADD17F">
      <w:pPr>
        <w:pStyle w:val="6"/>
        <w:overflowPunct w:val="0"/>
        <w:ind w:firstLine="0"/>
        <w:outlineLvl w:val="1"/>
        <w:rPr>
          <w:rFonts w:eastAsia="宋体"/>
          <w:b/>
          <w:bCs/>
          <w:color w:val="auto"/>
          <w:sz w:val="21"/>
          <w:szCs w:val="21"/>
          <w:highlight w:val="none"/>
        </w:rPr>
      </w:pPr>
      <w:r>
        <w:rPr>
          <w:rFonts w:eastAsia="宋体"/>
          <w:color w:val="auto"/>
          <w:sz w:val="21"/>
          <w:szCs w:val="21"/>
          <w:highlight w:val="none"/>
        </w:rPr>
        <w:br w:type="page"/>
      </w:r>
      <w:bookmarkStart w:id="32" w:name="_Toc6455"/>
      <w:bookmarkStart w:id="33" w:name="_Toc30434"/>
      <w:r>
        <w:rPr>
          <w:rFonts w:hint="eastAsia" w:eastAsia="宋体"/>
          <w:b/>
          <w:bCs/>
          <w:color w:val="auto"/>
          <w:sz w:val="21"/>
          <w:szCs w:val="21"/>
          <w:highlight w:val="none"/>
        </w:rPr>
        <w:t>格式</w:t>
      </w:r>
      <w:r>
        <w:rPr>
          <w:rFonts w:eastAsia="宋体"/>
          <w:b/>
          <w:bCs/>
          <w:color w:val="auto"/>
          <w:sz w:val="21"/>
          <w:szCs w:val="21"/>
          <w:highlight w:val="none"/>
        </w:rPr>
        <w:t>1</w:t>
      </w:r>
      <w:r>
        <w:rPr>
          <w:rFonts w:hint="eastAsia" w:eastAsia="宋体"/>
          <w:b/>
          <w:bCs/>
          <w:color w:val="auto"/>
          <w:sz w:val="21"/>
          <w:szCs w:val="21"/>
          <w:highlight w:val="none"/>
          <w:lang w:val="en-US" w:eastAsia="zh-CN"/>
        </w:rPr>
        <w:t>1</w:t>
      </w:r>
      <w:r>
        <w:rPr>
          <w:rFonts w:eastAsia="宋体"/>
          <w:b/>
          <w:bCs/>
          <w:color w:val="auto"/>
          <w:sz w:val="21"/>
          <w:szCs w:val="21"/>
          <w:highlight w:val="none"/>
        </w:rPr>
        <w:t>：中小企业声明函</w:t>
      </w:r>
      <w:bookmarkEnd w:id="32"/>
      <w:bookmarkEnd w:id="33"/>
    </w:p>
    <w:p w14:paraId="5CB52DC3">
      <w:pPr>
        <w:spacing w:line="480" w:lineRule="exact"/>
        <w:ind w:left="0"/>
        <w:jc w:val="left"/>
        <w:rPr>
          <w:rFonts w:ascii="Times New Roman" w:hAnsi="Times New Roman"/>
          <w:b/>
          <w:color w:val="auto"/>
          <w:sz w:val="21"/>
          <w:szCs w:val="21"/>
          <w:highlight w:val="none"/>
        </w:rPr>
      </w:pPr>
      <w:bookmarkStart w:id="34" w:name="_Toc20504"/>
      <w:bookmarkStart w:id="35" w:name="_Toc10206"/>
    </w:p>
    <w:p w14:paraId="4DBE34FE">
      <w:pPr>
        <w:spacing w:line="480" w:lineRule="exact"/>
        <w:ind w:left="0"/>
        <w:jc w:val="center"/>
        <w:rPr>
          <w:rFonts w:ascii="Times New Roman" w:hAnsi="Times New Roman"/>
          <w:b/>
          <w:color w:val="auto"/>
          <w:sz w:val="21"/>
          <w:szCs w:val="21"/>
          <w:highlight w:val="none"/>
        </w:rPr>
      </w:pPr>
      <w:r>
        <w:rPr>
          <w:rFonts w:ascii="Times New Roman" w:hAnsi="Times New Roman"/>
          <w:b/>
          <w:color w:val="auto"/>
          <w:sz w:val="21"/>
          <w:szCs w:val="21"/>
          <w:highlight w:val="none"/>
        </w:rPr>
        <w:t>中小企业声明函（服务）</w:t>
      </w:r>
    </w:p>
    <w:p w14:paraId="7F0460B0">
      <w:pPr>
        <w:spacing w:line="480" w:lineRule="exact"/>
        <w:ind w:left="0"/>
        <w:jc w:val="left"/>
        <w:rPr>
          <w:rFonts w:ascii="Times New Roman" w:hAnsi="Times New Roman"/>
          <w:color w:val="auto"/>
          <w:sz w:val="21"/>
          <w:szCs w:val="21"/>
          <w:highlight w:val="none"/>
        </w:rPr>
      </w:pPr>
      <w:r>
        <w:rPr>
          <w:rFonts w:hint="eastAsia" w:ascii="Times New Roman" w:hAnsi="Times New Roman"/>
          <w:color w:val="auto"/>
          <w:sz w:val="21"/>
          <w:szCs w:val="21"/>
          <w:highlight w:val="none"/>
          <w:u w:val="single"/>
          <w:lang w:val="en-US" w:eastAsia="zh-CN"/>
        </w:rPr>
        <w:t>苏州鼎力招投标咨询服务有限公司</w:t>
      </w:r>
      <w:r>
        <w:rPr>
          <w:rFonts w:ascii="Times New Roman" w:hAnsi="Times New Roman"/>
          <w:color w:val="auto"/>
          <w:sz w:val="21"/>
          <w:szCs w:val="21"/>
          <w:highlight w:val="none"/>
          <w:u w:val="single"/>
        </w:rPr>
        <w:t>：</w:t>
      </w:r>
    </w:p>
    <w:p w14:paraId="1E8ED4B9">
      <w:pPr>
        <w:spacing w:line="480" w:lineRule="exact"/>
        <w:ind w:left="0" w:firstLine="420"/>
        <w:rPr>
          <w:rFonts w:ascii="Times New Roman" w:hAnsi="Times New Roman"/>
          <w:color w:val="auto"/>
          <w:sz w:val="21"/>
          <w:szCs w:val="21"/>
          <w:highlight w:val="none"/>
          <w:u w:val="single"/>
        </w:rPr>
      </w:pPr>
      <w:r>
        <w:rPr>
          <w:rFonts w:ascii="Times New Roman" w:hAnsi="Times New Roman"/>
          <w:color w:val="auto"/>
          <w:sz w:val="21"/>
          <w:szCs w:val="21"/>
          <w:highlight w:val="none"/>
        </w:rPr>
        <w:t>本公司（联合体）郑重声明，根据《政府采购促进中小企业发展管理办法》（财库[2020]46号）的规定，本公司（联合体）参加</w:t>
      </w:r>
      <w:r>
        <w:rPr>
          <w:rFonts w:ascii="Times New Roman" w:hAnsi="Times New Roman"/>
          <w:color w:val="auto"/>
          <w:sz w:val="21"/>
          <w:szCs w:val="21"/>
          <w:highlight w:val="none"/>
          <w:u w:val="single"/>
        </w:rPr>
        <w:t>（单位名称）</w:t>
      </w:r>
      <w:r>
        <w:rPr>
          <w:rFonts w:ascii="Times New Roman" w:hAnsi="Times New Roman"/>
          <w:color w:val="auto"/>
          <w:sz w:val="21"/>
          <w:szCs w:val="21"/>
          <w:highlight w:val="none"/>
        </w:rPr>
        <w:t>的</w:t>
      </w:r>
      <w:r>
        <w:rPr>
          <w:rFonts w:ascii="Times New Roman" w:hAnsi="Times New Roman"/>
          <w:color w:val="auto"/>
          <w:sz w:val="21"/>
          <w:szCs w:val="21"/>
          <w:highlight w:val="none"/>
          <w:u w:val="single"/>
        </w:rPr>
        <w:t>（项目名称）</w:t>
      </w:r>
      <w:r>
        <w:rPr>
          <w:rFonts w:ascii="Times New Roman" w:hAnsi="Times New Roman"/>
          <w:color w:val="auto"/>
          <w:sz w:val="21"/>
          <w:szCs w:val="21"/>
          <w:highlight w:val="none"/>
        </w:rPr>
        <w:t>采购活动，服务全部由符合政策要求的中小企业承接。相关企业（含联合体中的中小企业、签订分包意向协议的中小企业）的具体情况如下：</w:t>
      </w:r>
    </w:p>
    <w:p w14:paraId="783BAAB4">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1、</w:t>
      </w:r>
      <w:r>
        <w:rPr>
          <w:rFonts w:ascii="Times New Roman" w:hAnsi="Times New Roman"/>
          <w:color w:val="auto"/>
          <w:sz w:val="21"/>
          <w:szCs w:val="21"/>
          <w:highlight w:val="none"/>
          <w:u w:val="single"/>
        </w:rPr>
        <w:t>（项目名称）</w:t>
      </w:r>
      <w:r>
        <w:rPr>
          <w:rFonts w:ascii="Times New Roman" w:hAnsi="Times New Roman"/>
          <w:color w:val="auto"/>
          <w:sz w:val="21"/>
          <w:szCs w:val="21"/>
          <w:highlight w:val="none"/>
        </w:rPr>
        <w:t>，属于</w:t>
      </w:r>
      <w:r>
        <w:rPr>
          <w:rFonts w:ascii="Times New Roman" w:hAnsi="Times New Roman"/>
          <w:color w:val="auto"/>
          <w:sz w:val="21"/>
          <w:szCs w:val="21"/>
          <w:highlight w:val="none"/>
          <w:u w:val="single"/>
        </w:rPr>
        <w:t>（</w:t>
      </w:r>
      <w:r>
        <w:rPr>
          <w:rFonts w:hint="eastAsia"/>
          <w:color w:val="auto"/>
          <w:szCs w:val="21"/>
          <w:highlight w:val="none"/>
          <w:u w:val="single"/>
        </w:rPr>
        <w:t>租赁和商务服务业</w:t>
      </w:r>
      <w:r>
        <w:rPr>
          <w:rFonts w:ascii="Times New Roman" w:hAnsi="Times New Roman"/>
          <w:color w:val="auto"/>
          <w:sz w:val="21"/>
          <w:szCs w:val="21"/>
          <w:highlight w:val="none"/>
          <w:u w:val="single"/>
        </w:rPr>
        <w:t>）行业</w:t>
      </w:r>
      <w:r>
        <w:rPr>
          <w:rFonts w:ascii="Times New Roman" w:hAnsi="Times New Roman"/>
          <w:color w:val="auto"/>
          <w:sz w:val="21"/>
          <w:szCs w:val="21"/>
          <w:highlight w:val="none"/>
        </w:rPr>
        <w:t>；承接企业为</w:t>
      </w:r>
      <w:r>
        <w:rPr>
          <w:rFonts w:ascii="Times New Roman" w:hAnsi="Times New Roman"/>
          <w:color w:val="auto"/>
          <w:sz w:val="21"/>
          <w:szCs w:val="21"/>
          <w:highlight w:val="none"/>
          <w:u w:val="single"/>
        </w:rPr>
        <w:t>（企业名称）</w:t>
      </w:r>
      <w:r>
        <w:rPr>
          <w:rFonts w:ascii="Times New Roman" w:hAnsi="Times New Roman"/>
          <w:color w:val="auto"/>
          <w:sz w:val="21"/>
          <w:szCs w:val="21"/>
          <w:highlight w:val="none"/>
        </w:rPr>
        <w:t>，从业人员</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人，营业收入为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万元，资产总额为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w:t>
      </w:r>
      <w:r>
        <w:rPr>
          <w:rStyle w:val="36"/>
          <w:rFonts w:ascii="Times New Roman" w:hAnsi="Times New Roman"/>
          <w:color w:val="auto"/>
          <w:sz w:val="21"/>
          <w:szCs w:val="21"/>
          <w:highlight w:val="none"/>
        </w:rPr>
        <w:footnoteReference w:id="0"/>
      </w:r>
      <w:r>
        <w:rPr>
          <w:rFonts w:ascii="Times New Roman" w:hAnsi="Times New Roman"/>
          <w:color w:val="auto"/>
          <w:sz w:val="21"/>
          <w:szCs w:val="21"/>
          <w:highlight w:val="none"/>
        </w:rPr>
        <w:t>，属于</w:t>
      </w:r>
      <w:r>
        <w:rPr>
          <w:rFonts w:ascii="Times New Roman" w:hAnsi="Times New Roman"/>
          <w:color w:val="auto"/>
          <w:sz w:val="21"/>
          <w:szCs w:val="21"/>
          <w:highlight w:val="none"/>
          <w:u w:val="single"/>
        </w:rPr>
        <w:t>（□中型企业、□小型企业、□微型企业）</w:t>
      </w:r>
      <w:r>
        <w:rPr>
          <w:rFonts w:ascii="Times New Roman" w:hAnsi="Times New Roman"/>
          <w:color w:val="auto"/>
          <w:sz w:val="21"/>
          <w:szCs w:val="21"/>
          <w:highlight w:val="none"/>
        </w:rPr>
        <w:t>；</w:t>
      </w:r>
    </w:p>
    <w:p w14:paraId="46C8A4A4">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2、</w:t>
      </w:r>
      <w:r>
        <w:rPr>
          <w:rFonts w:ascii="Times New Roman" w:hAnsi="Times New Roman"/>
          <w:color w:val="auto"/>
          <w:sz w:val="21"/>
          <w:szCs w:val="21"/>
          <w:highlight w:val="none"/>
          <w:u w:val="single"/>
          <w:lang w:val="zh-CN"/>
        </w:rPr>
        <w:t>（</w:t>
      </w:r>
      <w:r>
        <w:rPr>
          <w:rFonts w:ascii="Times New Roman" w:hAnsi="Times New Roman"/>
          <w:color w:val="auto"/>
          <w:sz w:val="21"/>
          <w:szCs w:val="21"/>
          <w:highlight w:val="none"/>
          <w:u w:val="single"/>
        </w:rPr>
        <w:t>项目</w:t>
      </w:r>
      <w:r>
        <w:rPr>
          <w:rFonts w:ascii="Times New Roman" w:hAnsi="Times New Roman"/>
          <w:color w:val="auto"/>
          <w:sz w:val="21"/>
          <w:szCs w:val="21"/>
          <w:highlight w:val="none"/>
          <w:u w:val="single"/>
          <w:lang w:val="zh-CN"/>
        </w:rPr>
        <w:t>名称）</w:t>
      </w:r>
      <w:r>
        <w:rPr>
          <w:rFonts w:ascii="Times New Roman" w:hAnsi="Times New Roman"/>
          <w:color w:val="auto"/>
          <w:sz w:val="21"/>
          <w:szCs w:val="21"/>
          <w:highlight w:val="none"/>
          <w:lang w:val="zh-CN"/>
        </w:rPr>
        <w:t>，属于</w:t>
      </w:r>
      <w:r>
        <w:rPr>
          <w:rFonts w:ascii="Times New Roman" w:hAnsi="Times New Roman"/>
          <w:color w:val="auto"/>
          <w:sz w:val="21"/>
          <w:szCs w:val="21"/>
          <w:highlight w:val="none"/>
          <w:u w:val="single"/>
          <w:lang w:val="zh-CN"/>
        </w:rPr>
        <w:t>（</w:t>
      </w:r>
      <w:r>
        <w:rPr>
          <w:rFonts w:hint="eastAsia"/>
          <w:color w:val="auto"/>
          <w:szCs w:val="21"/>
          <w:highlight w:val="none"/>
          <w:u w:val="single"/>
        </w:rPr>
        <w:t>租赁和商务服务业</w:t>
      </w:r>
      <w:r>
        <w:rPr>
          <w:rFonts w:ascii="Times New Roman" w:hAnsi="Times New Roman"/>
          <w:color w:val="auto"/>
          <w:sz w:val="21"/>
          <w:szCs w:val="21"/>
          <w:highlight w:val="none"/>
          <w:u w:val="single"/>
          <w:lang w:val="zh-CN"/>
        </w:rPr>
        <w:t>）行业</w:t>
      </w:r>
      <w:r>
        <w:rPr>
          <w:rFonts w:ascii="Times New Roman" w:hAnsi="Times New Roman"/>
          <w:color w:val="auto"/>
          <w:sz w:val="21"/>
          <w:szCs w:val="21"/>
          <w:highlight w:val="none"/>
          <w:lang w:val="zh-CN"/>
        </w:rPr>
        <w:t>；承接企业为</w:t>
      </w:r>
      <w:r>
        <w:rPr>
          <w:rFonts w:ascii="Times New Roman" w:hAnsi="Times New Roman"/>
          <w:color w:val="auto"/>
          <w:sz w:val="21"/>
          <w:szCs w:val="21"/>
          <w:highlight w:val="none"/>
          <w:u w:val="single"/>
          <w:lang w:val="zh-CN"/>
        </w:rPr>
        <w:t>（企业名称）</w:t>
      </w:r>
      <w:r>
        <w:rPr>
          <w:rFonts w:ascii="Times New Roman" w:hAnsi="Times New Roman"/>
          <w:color w:val="auto"/>
          <w:sz w:val="21"/>
          <w:szCs w:val="21"/>
          <w:highlight w:val="none"/>
          <w:lang w:val="zh-CN"/>
        </w:rPr>
        <w:t>，</w:t>
      </w:r>
      <w:r>
        <w:rPr>
          <w:rFonts w:ascii="Times New Roman" w:hAnsi="Times New Roman"/>
          <w:color w:val="auto"/>
          <w:sz w:val="21"/>
          <w:szCs w:val="21"/>
          <w:highlight w:val="none"/>
        </w:rPr>
        <w:t>从业人员</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人，营业收入为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万元，资产总额为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万元，属于</w:t>
      </w:r>
      <w:r>
        <w:rPr>
          <w:rFonts w:ascii="Times New Roman" w:hAnsi="Times New Roman"/>
          <w:color w:val="auto"/>
          <w:sz w:val="21"/>
          <w:szCs w:val="21"/>
          <w:highlight w:val="none"/>
          <w:u w:val="single"/>
        </w:rPr>
        <w:t>（□中型企业、□小型企业、□微型企业）</w:t>
      </w:r>
      <w:r>
        <w:rPr>
          <w:rFonts w:ascii="Times New Roman" w:hAnsi="Times New Roman"/>
          <w:color w:val="auto"/>
          <w:sz w:val="21"/>
          <w:szCs w:val="21"/>
          <w:highlight w:val="none"/>
        </w:rPr>
        <w:t>；</w:t>
      </w:r>
    </w:p>
    <w:p w14:paraId="772759A1">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w:t>
      </w:r>
    </w:p>
    <w:p w14:paraId="5AC92CBA">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以上企业，不属于大企业的分支机构，不存在控股股东为大企业的情形，也不存在与大企业的负责人为同一人的情形。</w:t>
      </w:r>
    </w:p>
    <w:p w14:paraId="30E413D3">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本企业对上述声明内容的真实性负责。如有虚假，将依法承担相应责任。</w:t>
      </w:r>
    </w:p>
    <w:p w14:paraId="120744FB">
      <w:pPr>
        <w:spacing w:line="480" w:lineRule="exact"/>
        <w:ind w:left="0"/>
        <w:jc w:val="left"/>
        <w:rPr>
          <w:rFonts w:ascii="Times New Roman" w:hAnsi="Times New Roman"/>
          <w:color w:val="auto"/>
          <w:sz w:val="21"/>
          <w:szCs w:val="21"/>
          <w:highlight w:val="none"/>
        </w:rPr>
      </w:pPr>
    </w:p>
    <w:p w14:paraId="52AA35C0">
      <w:pPr>
        <w:widowControl w:val="0"/>
        <w:spacing w:line="360" w:lineRule="auto"/>
        <w:ind w:left="0" w:right="-200"/>
        <w:jc w:val="center"/>
        <w:rPr>
          <w:rFonts w:ascii="Times New Roman" w:hAnsi="Times New Roman"/>
          <w:color w:val="auto"/>
          <w:sz w:val="21"/>
          <w:szCs w:val="21"/>
          <w:highlight w:val="none"/>
          <w:lang w:val="zh-CN"/>
        </w:rPr>
      </w:pPr>
      <w:r>
        <w:rPr>
          <w:rFonts w:ascii="Times New Roman" w:hAnsi="Times New Roman"/>
          <w:color w:val="auto"/>
          <w:sz w:val="21"/>
          <w:szCs w:val="21"/>
          <w:highlight w:val="none"/>
        </w:rPr>
        <w:t xml:space="preserve">                            供应商名称：（公章）</w:t>
      </w:r>
      <w:r>
        <w:rPr>
          <w:rFonts w:ascii="Times New Roman" w:hAnsi="Times New Roman"/>
          <w:color w:val="auto"/>
          <w:sz w:val="21"/>
          <w:szCs w:val="21"/>
          <w:highlight w:val="none"/>
          <w:lang w:val="zh-CN"/>
        </w:rPr>
        <w:t> </w:t>
      </w:r>
    </w:p>
    <w:p w14:paraId="7C1A7110">
      <w:pPr>
        <w:spacing w:line="400" w:lineRule="exact"/>
        <w:ind w:left="0" w:right="615" w:firstLine="840"/>
        <w:jc w:val="righ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 日    期：     年</w:t>
      </w:r>
      <w:r>
        <w:rPr>
          <w:rFonts w:ascii="Times New Roman" w:hAnsi="Times New Roman"/>
          <w:color w:val="auto"/>
          <w:sz w:val="21"/>
          <w:szCs w:val="21"/>
          <w:highlight w:val="none"/>
        </w:rPr>
        <w:t xml:space="preserve">     </w:t>
      </w:r>
      <w:r>
        <w:rPr>
          <w:rFonts w:ascii="Times New Roman" w:hAnsi="Times New Roman"/>
          <w:color w:val="auto"/>
          <w:sz w:val="21"/>
          <w:szCs w:val="21"/>
          <w:highlight w:val="none"/>
          <w:lang w:val="zh-CN"/>
        </w:rPr>
        <w:t xml:space="preserve">月   </w:t>
      </w:r>
      <w:r>
        <w:rPr>
          <w:rFonts w:ascii="Times New Roman" w:hAnsi="Times New Roman"/>
          <w:color w:val="auto"/>
          <w:sz w:val="21"/>
          <w:szCs w:val="21"/>
          <w:highlight w:val="none"/>
        </w:rPr>
        <w:t xml:space="preserve"> </w:t>
      </w:r>
      <w:r>
        <w:rPr>
          <w:rFonts w:ascii="Times New Roman" w:hAnsi="Times New Roman"/>
          <w:color w:val="auto"/>
          <w:sz w:val="21"/>
          <w:szCs w:val="21"/>
          <w:highlight w:val="none"/>
          <w:lang w:val="zh-CN"/>
        </w:rPr>
        <w:t>日</w:t>
      </w:r>
    </w:p>
    <w:p w14:paraId="643A4D06">
      <w:pPr>
        <w:spacing w:line="280" w:lineRule="exact"/>
        <w:ind w:left="0"/>
        <w:rPr>
          <w:rFonts w:ascii="Times New Roman" w:hAnsi="Times New Roman"/>
          <w:b/>
          <w:color w:val="auto"/>
          <w:highlight w:val="none"/>
        </w:rPr>
      </w:pPr>
      <w:r>
        <w:rPr>
          <w:rFonts w:ascii="Times New Roman" w:hAnsi="Times New Roman"/>
          <w:b/>
          <w:bCs/>
          <w:color w:val="auto"/>
          <w:sz w:val="21"/>
          <w:szCs w:val="21"/>
          <w:highlight w:val="none"/>
        </w:rPr>
        <w:br w:type="page" w:clear="all"/>
      </w:r>
      <w:r>
        <w:rPr>
          <w:rFonts w:ascii="Times New Roman" w:hAnsi="Times New Roman"/>
          <w:b/>
          <w:color w:val="auto"/>
          <w:highlight w:val="none"/>
        </w:rPr>
        <w:t>附：中小企业划型标准规定</w:t>
      </w:r>
    </w:p>
    <w:p w14:paraId="10A20B03">
      <w:pPr>
        <w:spacing w:line="280" w:lineRule="exact"/>
        <w:ind w:left="0" w:firstLine="402"/>
        <w:rPr>
          <w:rFonts w:ascii="Times New Roman" w:hAnsi="Times New Roman"/>
          <w:color w:val="auto"/>
          <w:highlight w:val="none"/>
        </w:rPr>
      </w:pPr>
      <w:r>
        <w:rPr>
          <w:rFonts w:ascii="Times New Roman" w:hAnsi="Times New Roman"/>
          <w:b/>
          <w:color w:val="auto"/>
          <w:highlight w:val="none"/>
        </w:rPr>
        <w:t>（一）农、林、牧、渔业。</w:t>
      </w:r>
      <w:r>
        <w:rPr>
          <w:rFonts w:ascii="Times New Roman" w:hAnsi="Times New Roman"/>
          <w:color w:val="auto"/>
          <w:highlight w:val="none"/>
        </w:rPr>
        <w:t>营业收入20000万元以下的为中小微型企业。其中，营业收入500万元及以上的为中型企业，营业收入50万元及以上的为小型企业，营业收入50万元以下的为微型企业。</w:t>
      </w:r>
    </w:p>
    <w:p w14:paraId="0219E5B7">
      <w:pPr>
        <w:spacing w:line="280" w:lineRule="exact"/>
        <w:ind w:left="0" w:firstLine="402"/>
        <w:rPr>
          <w:rFonts w:ascii="Times New Roman" w:hAnsi="Times New Roman"/>
          <w:color w:val="auto"/>
          <w:highlight w:val="none"/>
        </w:rPr>
      </w:pPr>
      <w:r>
        <w:rPr>
          <w:rFonts w:ascii="Times New Roman" w:hAnsi="Times New Roman"/>
          <w:b/>
          <w:color w:val="auto"/>
          <w:highlight w:val="none"/>
        </w:rPr>
        <w:t>（二）工业。</w:t>
      </w:r>
      <w:r>
        <w:rPr>
          <w:rFonts w:ascii="Times New Roman" w:hAnsi="Times New Roman"/>
          <w:color w:val="auto"/>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2798310">
      <w:pPr>
        <w:spacing w:line="280" w:lineRule="exact"/>
        <w:ind w:left="0" w:firstLine="402"/>
        <w:rPr>
          <w:rFonts w:ascii="Times New Roman" w:hAnsi="Times New Roman"/>
          <w:color w:val="auto"/>
          <w:highlight w:val="none"/>
        </w:rPr>
      </w:pPr>
      <w:r>
        <w:rPr>
          <w:rFonts w:ascii="Times New Roman" w:hAnsi="Times New Roman"/>
          <w:b/>
          <w:color w:val="auto"/>
          <w:highlight w:val="none"/>
        </w:rPr>
        <w:t>（三）建筑业。</w:t>
      </w:r>
      <w:r>
        <w:rPr>
          <w:rFonts w:ascii="Times New Roman" w:hAnsi="Times New Roman"/>
          <w:color w:val="auto"/>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DA79C0A">
      <w:pPr>
        <w:spacing w:line="280" w:lineRule="exact"/>
        <w:ind w:left="0" w:firstLine="402"/>
        <w:rPr>
          <w:rFonts w:ascii="Times New Roman" w:hAnsi="Times New Roman"/>
          <w:color w:val="auto"/>
          <w:highlight w:val="none"/>
        </w:rPr>
      </w:pPr>
      <w:r>
        <w:rPr>
          <w:rFonts w:ascii="Times New Roman" w:hAnsi="Times New Roman"/>
          <w:b/>
          <w:color w:val="auto"/>
          <w:highlight w:val="none"/>
        </w:rPr>
        <w:t>（四）批发业。</w:t>
      </w:r>
      <w:r>
        <w:rPr>
          <w:rFonts w:ascii="Times New Roman" w:hAnsi="Times New Roman"/>
          <w:color w:val="auto"/>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A626F11">
      <w:pPr>
        <w:spacing w:line="280" w:lineRule="exact"/>
        <w:ind w:left="0" w:firstLine="402"/>
        <w:rPr>
          <w:rFonts w:ascii="Times New Roman" w:hAnsi="Times New Roman"/>
          <w:color w:val="auto"/>
          <w:highlight w:val="none"/>
        </w:rPr>
      </w:pPr>
      <w:r>
        <w:rPr>
          <w:rFonts w:ascii="Times New Roman" w:hAnsi="Times New Roman"/>
          <w:b/>
          <w:color w:val="auto"/>
          <w:highlight w:val="none"/>
        </w:rPr>
        <w:t>（五）零售业。</w:t>
      </w:r>
      <w:r>
        <w:rPr>
          <w:rFonts w:ascii="Times New Roman" w:hAnsi="Times New Roman"/>
          <w:color w:val="auto"/>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00D22D2">
      <w:pPr>
        <w:spacing w:line="280" w:lineRule="exact"/>
        <w:ind w:left="0" w:firstLine="402"/>
        <w:rPr>
          <w:rFonts w:ascii="Times New Roman" w:hAnsi="Times New Roman"/>
          <w:color w:val="auto"/>
          <w:highlight w:val="none"/>
        </w:rPr>
      </w:pPr>
      <w:r>
        <w:rPr>
          <w:rFonts w:ascii="Times New Roman" w:hAnsi="Times New Roman"/>
          <w:b/>
          <w:color w:val="auto"/>
          <w:highlight w:val="none"/>
        </w:rPr>
        <w:t>（六）交通运输业。</w:t>
      </w:r>
      <w:r>
        <w:rPr>
          <w:rFonts w:ascii="Times New Roman" w:hAnsi="Times New Roman"/>
          <w:color w:val="auto"/>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904D178">
      <w:pPr>
        <w:spacing w:line="280" w:lineRule="exact"/>
        <w:ind w:left="0" w:firstLine="402"/>
        <w:rPr>
          <w:rFonts w:ascii="Times New Roman" w:hAnsi="Times New Roman"/>
          <w:color w:val="auto"/>
          <w:highlight w:val="none"/>
        </w:rPr>
      </w:pPr>
      <w:r>
        <w:rPr>
          <w:rFonts w:ascii="Times New Roman" w:hAnsi="Times New Roman"/>
          <w:b/>
          <w:color w:val="auto"/>
          <w:highlight w:val="none"/>
        </w:rPr>
        <w:t>（七）仓储业。</w:t>
      </w:r>
      <w:r>
        <w:rPr>
          <w:rFonts w:ascii="Times New Roman" w:hAnsi="Times New Roman"/>
          <w:color w:val="auto"/>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0BA2D1B">
      <w:pPr>
        <w:spacing w:line="280" w:lineRule="exact"/>
        <w:ind w:left="0" w:firstLine="402"/>
        <w:rPr>
          <w:rFonts w:ascii="Times New Roman" w:hAnsi="Times New Roman"/>
          <w:color w:val="auto"/>
          <w:highlight w:val="none"/>
        </w:rPr>
      </w:pPr>
      <w:r>
        <w:rPr>
          <w:rFonts w:ascii="Times New Roman" w:hAnsi="Times New Roman"/>
          <w:b/>
          <w:color w:val="auto"/>
          <w:highlight w:val="none"/>
        </w:rPr>
        <w:t>（八）邮政业。</w:t>
      </w:r>
      <w:r>
        <w:rPr>
          <w:rFonts w:ascii="Times New Roman" w:hAnsi="Times New Roman"/>
          <w:color w:val="auto"/>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930BEF2">
      <w:pPr>
        <w:spacing w:line="280" w:lineRule="exact"/>
        <w:ind w:left="0" w:firstLine="402"/>
        <w:rPr>
          <w:rFonts w:ascii="Times New Roman" w:hAnsi="Times New Roman"/>
          <w:color w:val="auto"/>
          <w:highlight w:val="none"/>
        </w:rPr>
      </w:pPr>
      <w:r>
        <w:rPr>
          <w:rFonts w:ascii="Times New Roman" w:hAnsi="Times New Roman"/>
          <w:b/>
          <w:color w:val="auto"/>
          <w:highlight w:val="none"/>
        </w:rPr>
        <w:t>（九）住宿业。</w:t>
      </w:r>
      <w:r>
        <w:rPr>
          <w:rFonts w:ascii="Times New Roman" w:hAnsi="Times New Roman"/>
          <w:color w:val="auto"/>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FB2C56E">
      <w:pPr>
        <w:spacing w:line="280" w:lineRule="exact"/>
        <w:ind w:left="0" w:firstLine="402"/>
        <w:rPr>
          <w:rFonts w:ascii="Times New Roman" w:hAnsi="Times New Roman"/>
          <w:color w:val="auto"/>
          <w:highlight w:val="none"/>
        </w:rPr>
      </w:pPr>
      <w:r>
        <w:rPr>
          <w:rFonts w:ascii="Times New Roman" w:hAnsi="Times New Roman"/>
          <w:b/>
          <w:color w:val="auto"/>
          <w:highlight w:val="none"/>
        </w:rPr>
        <w:t>（十）餐饮业。</w:t>
      </w:r>
      <w:r>
        <w:rPr>
          <w:rFonts w:ascii="Times New Roman" w:hAnsi="Times New Roman"/>
          <w:color w:val="auto"/>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1986532">
      <w:pPr>
        <w:spacing w:line="280" w:lineRule="exact"/>
        <w:ind w:left="0" w:firstLine="402"/>
        <w:rPr>
          <w:rFonts w:ascii="Times New Roman" w:hAnsi="Times New Roman"/>
          <w:color w:val="auto"/>
          <w:highlight w:val="none"/>
        </w:rPr>
      </w:pPr>
      <w:r>
        <w:rPr>
          <w:rFonts w:ascii="Times New Roman" w:hAnsi="Times New Roman"/>
          <w:b/>
          <w:color w:val="auto"/>
          <w:highlight w:val="none"/>
        </w:rPr>
        <w:t>（十一）信息传输业。</w:t>
      </w:r>
      <w:r>
        <w:rPr>
          <w:rFonts w:ascii="Times New Roman" w:hAnsi="Times New Roman"/>
          <w:color w:val="auto"/>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CB52C61">
      <w:pPr>
        <w:spacing w:line="280" w:lineRule="exact"/>
        <w:ind w:left="0" w:firstLine="402"/>
        <w:rPr>
          <w:rFonts w:ascii="Times New Roman" w:hAnsi="Times New Roman"/>
          <w:color w:val="auto"/>
          <w:highlight w:val="none"/>
        </w:rPr>
      </w:pPr>
      <w:r>
        <w:rPr>
          <w:rFonts w:ascii="Times New Roman" w:hAnsi="Times New Roman"/>
          <w:b/>
          <w:color w:val="auto"/>
          <w:highlight w:val="none"/>
        </w:rPr>
        <w:t>（十二）软件和信息技术服务业。</w:t>
      </w:r>
      <w:r>
        <w:rPr>
          <w:rFonts w:ascii="Times New Roman" w:hAnsi="Times New Roman"/>
          <w:color w:val="auto"/>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1FF1D1">
      <w:pPr>
        <w:spacing w:line="280" w:lineRule="exact"/>
        <w:ind w:left="0" w:firstLine="402"/>
        <w:rPr>
          <w:rFonts w:ascii="Times New Roman" w:hAnsi="Times New Roman"/>
          <w:color w:val="auto"/>
          <w:highlight w:val="none"/>
        </w:rPr>
      </w:pPr>
      <w:r>
        <w:rPr>
          <w:rFonts w:ascii="Times New Roman" w:hAnsi="Times New Roman"/>
          <w:b/>
          <w:color w:val="auto"/>
          <w:highlight w:val="none"/>
        </w:rPr>
        <w:t>（十三）房地产开发经营。</w:t>
      </w:r>
      <w:r>
        <w:rPr>
          <w:rFonts w:ascii="Times New Roman" w:hAnsi="Times New Roman"/>
          <w:color w:val="auto"/>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B6F04CC">
      <w:pPr>
        <w:spacing w:line="280" w:lineRule="exact"/>
        <w:ind w:left="0" w:firstLine="402"/>
        <w:rPr>
          <w:rFonts w:ascii="Times New Roman" w:hAnsi="Times New Roman"/>
          <w:color w:val="auto"/>
          <w:highlight w:val="none"/>
        </w:rPr>
      </w:pPr>
      <w:r>
        <w:rPr>
          <w:rFonts w:ascii="Times New Roman" w:hAnsi="Times New Roman"/>
          <w:b/>
          <w:color w:val="auto"/>
          <w:highlight w:val="none"/>
        </w:rPr>
        <w:t>（十四）物业管理。</w:t>
      </w:r>
      <w:r>
        <w:rPr>
          <w:rFonts w:ascii="Times New Roman" w:hAnsi="Times New Roman"/>
          <w:color w:val="auto"/>
          <w:highlight w:val="none"/>
        </w:rPr>
        <w:t>从业人员1000人以下或营业收入5000万元以下的为中小微型企业。其中，从业人员</w:t>
      </w:r>
    </w:p>
    <w:p w14:paraId="2F11B977">
      <w:pPr>
        <w:spacing w:line="280" w:lineRule="exact"/>
        <w:ind w:left="0"/>
        <w:rPr>
          <w:rFonts w:ascii="Times New Roman" w:hAnsi="Times New Roman"/>
          <w:color w:val="auto"/>
          <w:highlight w:val="none"/>
        </w:rPr>
      </w:pPr>
      <w:r>
        <w:rPr>
          <w:rFonts w:ascii="Times New Roman" w:hAnsi="Times New Roman"/>
          <w:color w:val="auto"/>
          <w:highlight w:val="none"/>
        </w:rPr>
        <w:t>300人及以上，且营业收入1000万元及以上的为中型企业；从业人员100人及以上，且营业收入500万元及以上的为小型企业；从业人员100人以下或营业收入500万元以下的为微型企业。</w:t>
      </w:r>
    </w:p>
    <w:p w14:paraId="58BD96EA">
      <w:pPr>
        <w:spacing w:line="280" w:lineRule="exact"/>
        <w:ind w:left="0" w:firstLine="402"/>
        <w:rPr>
          <w:rFonts w:ascii="Times New Roman" w:hAnsi="Times New Roman"/>
          <w:color w:val="auto"/>
          <w:highlight w:val="none"/>
        </w:rPr>
      </w:pPr>
      <w:r>
        <w:rPr>
          <w:rFonts w:ascii="Times New Roman" w:hAnsi="Times New Roman"/>
          <w:b/>
          <w:color w:val="auto"/>
          <w:highlight w:val="none"/>
        </w:rPr>
        <w:t>（十五）租赁和商务服务业。</w:t>
      </w:r>
      <w:r>
        <w:rPr>
          <w:rFonts w:ascii="Times New Roman" w:hAnsi="Times New Roman"/>
          <w:color w:val="auto"/>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801B5A6">
      <w:pPr>
        <w:spacing w:line="280" w:lineRule="exact"/>
        <w:ind w:left="0" w:firstLine="402"/>
        <w:rPr>
          <w:rFonts w:ascii="Times New Roman" w:hAnsi="Times New Roman"/>
          <w:color w:val="auto"/>
          <w:highlight w:val="none"/>
        </w:rPr>
      </w:pPr>
      <w:r>
        <w:rPr>
          <w:rFonts w:ascii="Times New Roman" w:hAnsi="Times New Roman"/>
          <w:b/>
          <w:color w:val="auto"/>
          <w:highlight w:val="none"/>
        </w:rPr>
        <w:t>（十六）其他未列明行业。</w:t>
      </w:r>
      <w:r>
        <w:rPr>
          <w:rFonts w:ascii="Times New Roman" w:hAnsi="Times New Roman"/>
          <w:color w:val="auto"/>
          <w:highlight w:val="none"/>
        </w:rPr>
        <w:t>从业人员300人以下的为中小微型企业。其中，从业人员100人及以上的为中型企业；从业人员10人及以上的为小型企业；从业人员10人以下的为微型企业。</w:t>
      </w:r>
    </w:p>
    <w:p w14:paraId="7C7509A5">
      <w:pPr>
        <w:pStyle w:val="13"/>
        <w:outlineLvl w:val="1"/>
        <w:rPr>
          <w:rFonts w:ascii="Times New Roman" w:hAnsi="Times New Roman"/>
          <w:b/>
          <w:bCs/>
          <w:color w:val="auto"/>
          <w:szCs w:val="21"/>
          <w:highlight w:val="none"/>
        </w:rPr>
      </w:pPr>
      <w:r>
        <w:rPr>
          <w:rFonts w:hint="eastAsia" w:ascii="Times New Roman" w:hAnsi="Times New Roman"/>
          <w:b/>
          <w:bCs/>
          <w:color w:val="auto"/>
          <w:szCs w:val="21"/>
          <w:highlight w:val="none"/>
        </w:rPr>
        <w:br w:type="column"/>
      </w:r>
      <w:r>
        <w:rPr>
          <w:rFonts w:hint="eastAsia" w:ascii="Times New Roman" w:hAnsi="Times New Roman"/>
          <w:b/>
          <w:bCs/>
          <w:color w:val="auto"/>
          <w:szCs w:val="21"/>
          <w:highlight w:val="none"/>
        </w:rPr>
        <w:t>格式</w:t>
      </w:r>
      <w:r>
        <w:rPr>
          <w:rFonts w:ascii="Times New Roman" w:hAnsi="Times New Roman"/>
          <w:b/>
          <w:bCs/>
          <w:color w:val="auto"/>
          <w:szCs w:val="21"/>
          <w:highlight w:val="none"/>
        </w:rPr>
        <w:t>1</w:t>
      </w:r>
      <w:r>
        <w:rPr>
          <w:rFonts w:hint="eastAsia" w:ascii="Times New Roman" w:hAnsi="Times New Roman"/>
          <w:b/>
          <w:bCs/>
          <w:color w:val="auto"/>
          <w:szCs w:val="21"/>
          <w:highlight w:val="none"/>
          <w:lang w:val="en-US" w:eastAsia="zh-CN"/>
        </w:rPr>
        <w:t>2</w:t>
      </w:r>
      <w:r>
        <w:rPr>
          <w:rFonts w:ascii="Times New Roman" w:hAnsi="Times New Roman"/>
          <w:b/>
          <w:bCs/>
          <w:color w:val="auto"/>
          <w:szCs w:val="21"/>
          <w:highlight w:val="none"/>
        </w:rPr>
        <w:t>：残疾人福利性单位声明函</w:t>
      </w:r>
      <w:bookmarkEnd w:id="34"/>
      <w:bookmarkEnd w:id="35"/>
    </w:p>
    <w:p w14:paraId="70808C82">
      <w:pPr>
        <w:autoSpaceDE w:val="0"/>
        <w:autoSpaceDN w:val="0"/>
        <w:adjustRightInd w:val="0"/>
        <w:spacing w:line="400" w:lineRule="exact"/>
        <w:jc w:val="center"/>
        <w:rPr>
          <w:b/>
          <w:bCs/>
          <w:color w:val="auto"/>
          <w:sz w:val="24"/>
          <w:highlight w:val="none"/>
          <w:lang w:val="zh-CN"/>
        </w:rPr>
      </w:pPr>
      <w:bookmarkStart w:id="36" w:name="OLE_LINK13"/>
      <w:bookmarkStart w:id="37" w:name="OLE_LINK14"/>
      <w:r>
        <w:rPr>
          <w:b/>
          <w:bCs/>
          <w:color w:val="auto"/>
          <w:sz w:val="24"/>
          <w:highlight w:val="none"/>
          <w:lang w:val="zh-CN"/>
        </w:rPr>
        <w:t>残疾人福利性单位声明函</w:t>
      </w:r>
    </w:p>
    <w:bookmarkEnd w:id="36"/>
    <w:bookmarkEnd w:id="37"/>
    <w:p w14:paraId="3CC2829C">
      <w:pPr>
        <w:spacing w:line="360" w:lineRule="auto"/>
        <w:ind w:left="0" w:leftChars="0" w:firstLine="420" w:firstLineChars="200"/>
        <w:rPr>
          <w:rFonts w:ascii="Times New Roman" w:hAnsi="Times New Roman"/>
          <w:color w:val="auto"/>
          <w:sz w:val="21"/>
          <w:szCs w:val="21"/>
          <w:highlight w:val="none"/>
        </w:rPr>
      </w:pPr>
      <w:r>
        <w:rPr>
          <w:rFonts w:ascii="Times New Roman" w:hAnsi="Times New Roman"/>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olor w:val="auto"/>
          <w:sz w:val="21"/>
          <w:szCs w:val="21"/>
          <w:highlight w:val="none"/>
          <w:lang w:val="zh-CN"/>
        </w:rPr>
        <w:t>贵中心组织实施的编号为</w:t>
      </w:r>
      <w:r>
        <w:rPr>
          <w:rFonts w:ascii="Times New Roman" w:hAnsi="Times New Roman"/>
          <w:color w:val="auto"/>
          <w:sz w:val="21"/>
          <w:szCs w:val="21"/>
          <w:highlight w:val="none"/>
          <w:u w:val="single"/>
          <w:lang w:val="zh-CN"/>
        </w:rPr>
        <w:t xml:space="preserve">              </w:t>
      </w:r>
      <w:r>
        <w:rPr>
          <w:rFonts w:ascii="Times New Roman" w:hAnsi="Times New Roman"/>
          <w:color w:val="auto"/>
          <w:sz w:val="21"/>
          <w:szCs w:val="21"/>
          <w:highlight w:val="none"/>
          <w:lang w:val="zh-CN"/>
        </w:rPr>
        <w:t>号的采购活动</w:t>
      </w:r>
      <w:r>
        <w:rPr>
          <w:rFonts w:ascii="Times New Roman" w:hAnsi="Times New Roman"/>
          <w:color w:val="auto"/>
          <w:sz w:val="21"/>
          <w:szCs w:val="21"/>
          <w:highlight w:val="none"/>
        </w:rPr>
        <w:t>提供本单位制造的货物（由本单位承担工程/提供服务），或者提供其他残疾人福利性单位制造的货物（不包括使用非残疾人福利性单位注册商标的货物）。</w:t>
      </w:r>
    </w:p>
    <w:p w14:paraId="71C35959">
      <w:pPr>
        <w:adjustRightInd w:val="0"/>
        <w:snapToGrid w:val="0"/>
        <w:spacing w:line="580" w:lineRule="exact"/>
        <w:ind w:left="0" w:leftChars="0" w:firstLine="420" w:firstLineChars="200"/>
        <w:rPr>
          <w:color w:val="auto"/>
          <w:szCs w:val="21"/>
          <w:highlight w:val="none"/>
        </w:rPr>
      </w:pPr>
      <w:r>
        <w:rPr>
          <w:rFonts w:ascii="Times New Roman" w:hAnsi="Times New Roman"/>
          <w:color w:val="auto"/>
          <w:sz w:val="21"/>
          <w:szCs w:val="21"/>
          <w:highlight w:val="none"/>
        </w:rPr>
        <w:t>本单位对上述声明的真实性负责。如有虚假，将依法承担相应责任。</w:t>
      </w:r>
    </w:p>
    <w:p w14:paraId="4A9976C9">
      <w:pPr>
        <w:adjustRightInd w:val="0"/>
        <w:snapToGrid w:val="0"/>
        <w:spacing w:line="580" w:lineRule="exact"/>
        <w:ind w:firstLine="420" w:firstLineChars="200"/>
        <w:rPr>
          <w:color w:val="auto"/>
          <w:szCs w:val="21"/>
          <w:highlight w:val="none"/>
        </w:rPr>
      </w:pPr>
    </w:p>
    <w:p w14:paraId="2017F40D">
      <w:pPr>
        <w:tabs>
          <w:tab w:val="left" w:pos="4860"/>
        </w:tabs>
        <w:adjustRightInd w:val="0"/>
        <w:snapToGrid w:val="0"/>
        <w:spacing w:line="580" w:lineRule="exact"/>
        <w:ind w:right="1560" w:firstLine="420" w:firstLineChars="200"/>
        <w:jc w:val="right"/>
        <w:rPr>
          <w:color w:val="auto"/>
          <w:szCs w:val="21"/>
          <w:highlight w:val="none"/>
        </w:rPr>
      </w:pPr>
      <w:r>
        <w:rPr>
          <w:color w:val="auto"/>
          <w:szCs w:val="21"/>
          <w:highlight w:val="none"/>
        </w:rPr>
        <w:t xml:space="preserve">                    单位名称（盖章）：</w:t>
      </w:r>
    </w:p>
    <w:p w14:paraId="004EAE8E">
      <w:pPr>
        <w:tabs>
          <w:tab w:val="left" w:pos="4860"/>
        </w:tabs>
        <w:adjustRightInd w:val="0"/>
        <w:snapToGrid w:val="0"/>
        <w:spacing w:line="580" w:lineRule="exact"/>
        <w:ind w:right="1560" w:firstLine="420" w:firstLineChars="200"/>
        <w:jc w:val="right"/>
        <w:rPr>
          <w:b/>
          <w:bCs/>
          <w:color w:val="auto"/>
          <w:highlight w:val="none"/>
        </w:rPr>
      </w:pPr>
      <w:r>
        <w:rPr>
          <w:color w:val="auto"/>
          <w:szCs w:val="21"/>
          <w:highlight w:val="none"/>
        </w:rPr>
        <w:t xml:space="preserve">                 日期：      年    月    日</w:t>
      </w:r>
    </w:p>
    <w:p w14:paraId="5DC2318B">
      <w:pPr>
        <w:rPr>
          <w:color w:val="auto"/>
          <w:sz w:val="24"/>
          <w:highlight w:val="none"/>
        </w:rPr>
      </w:pPr>
    </w:p>
    <w:p w14:paraId="49B6B3D6">
      <w:pPr>
        <w:pStyle w:val="39"/>
        <w:ind w:firstLine="0" w:firstLineChars="0"/>
        <w:outlineLvl w:val="1"/>
        <w:rPr>
          <w:b/>
          <w:bCs/>
          <w:color w:val="auto"/>
          <w:szCs w:val="21"/>
          <w:highlight w:val="none"/>
        </w:rPr>
      </w:pPr>
      <w:r>
        <w:rPr>
          <w:rFonts w:hint="eastAsia"/>
          <w:color w:val="auto"/>
          <w:highlight w:val="none"/>
          <w:lang w:val="en-US"/>
        </w:rPr>
        <w:br w:type="page"/>
      </w:r>
      <w:r>
        <w:rPr>
          <w:rFonts w:hint="eastAsia"/>
          <w:b/>
          <w:color w:val="auto"/>
          <w:kern w:val="2"/>
          <w:sz w:val="21"/>
          <w:szCs w:val="21"/>
          <w:highlight w:val="none"/>
          <w:lang w:val="en-US"/>
        </w:rPr>
        <w:t>格式13：</w:t>
      </w:r>
      <w:r>
        <w:rPr>
          <w:b/>
          <w:color w:val="auto"/>
          <w:kern w:val="2"/>
          <w:sz w:val="21"/>
          <w:szCs w:val="21"/>
          <w:highlight w:val="none"/>
        </w:rPr>
        <w:t>投标（响应）保证承诺书</w:t>
      </w:r>
    </w:p>
    <w:p w14:paraId="2E76B0FA">
      <w:pPr>
        <w:adjustRightInd w:val="0"/>
        <w:snapToGrid w:val="0"/>
        <w:spacing w:line="480" w:lineRule="auto"/>
        <w:jc w:val="center"/>
        <w:rPr>
          <w:b/>
          <w:color w:val="auto"/>
          <w:spacing w:val="6"/>
          <w:sz w:val="32"/>
          <w:szCs w:val="32"/>
          <w:highlight w:val="none"/>
        </w:rPr>
      </w:pPr>
      <w:r>
        <w:rPr>
          <w:b/>
          <w:color w:val="auto"/>
          <w:spacing w:val="6"/>
          <w:sz w:val="32"/>
          <w:szCs w:val="32"/>
          <w:highlight w:val="none"/>
        </w:rPr>
        <w:t>投标（响应）保证承诺书（参考格式）</w:t>
      </w:r>
    </w:p>
    <w:p w14:paraId="17E191FF">
      <w:pPr>
        <w:pStyle w:val="22"/>
        <w:spacing w:line="440" w:lineRule="exact"/>
        <w:rPr>
          <w:color w:val="auto"/>
          <w:sz w:val="21"/>
          <w:szCs w:val="21"/>
          <w:highlight w:val="none"/>
        </w:rPr>
      </w:pPr>
      <w:r>
        <w:rPr>
          <w:color w:val="auto"/>
          <w:sz w:val="21"/>
          <w:szCs w:val="21"/>
          <w:highlight w:val="none"/>
        </w:rPr>
        <w:t>致：</w:t>
      </w:r>
      <w:r>
        <w:rPr>
          <w:color w:val="auto"/>
          <w:sz w:val="21"/>
          <w:szCs w:val="21"/>
          <w:highlight w:val="none"/>
          <w:u w:val="single"/>
        </w:rPr>
        <w:t xml:space="preserve">    （采购代理机构名称）           </w:t>
      </w:r>
    </w:p>
    <w:p w14:paraId="3D28E365">
      <w:pPr>
        <w:pStyle w:val="22"/>
        <w:spacing w:line="440" w:lineRule="exact"/>
        <w:ind w:firstLine="600"/>
        <w:rPr>
          <w:color w:val="auto"/>
          <w:sz w:val="21"/>
          <w:szCs w:val="21"/>
          <w:highlight w:val="none"/>
        </w:rPr>
      </w:pPr>
      <w:r>
        <w:rPr>
          <w:color w:val="auto"/>
          <w:sz w:val="21"/>
          <w:szCs w:val="21"/>
          <w:highlight w:val="none"/>
        </w:rPr>
        <w:t>我（单位/本人，以下统称我单位）自愿参加</w:t>
      </w:r>
      <w:r>
        <w:rPr>
          <w:color w:val="auto"/>
          <w:sz w:val="21"/>
          <w:szCs w:val="21"/>
          <w:highlight w:val="none"/>
          <w:u w:val="single"/>
        </w:rPr>
        <w:t> （项目名称和采购编号）</w:t>
      </w:r>
      <w:r>
        <w:rPr>
          <w:color w:val="auto"/>
          <w:sz w:val="21"/>
          <w:szCs w:val="21"/>
          <w:highlight w:val="none"/>
        </w:rPr>
        <w:t>的投标（响应）,并做出如下承诺：</w:t>
      </w:r>
    </w:p>
    <w:p w14:paraId="2C5B6E46">
      <w:pPr>
        <w:pStyle w:val="22"/>
        <w:spacing w:line="440" w:lineRule="exact"/>
        <w:ind w:firstLine="600"/>
        <w:rPr>
          <w:color w:val="auto"/>
          <w:sz w:val="21"/>
          <w:szCs w:val="21"/>
          <w:highlight w:val="none"/>
        </w:rPr>
      </w:pPr>
      <w:r>
        <w:rPr>
          <w:color w:val="auto"/>
          <w:sz w:val="21"/>
          <w:szCs w:val="21"/>
          <w:highlight w:val="none"/>
        </w:rPr>
        <w:t>一、除不可抗力外，我单位如果发生以下行为，将在行为发生的10个工作日内，向贵方</w:t>
      </w:r>
      <w:r>
        <w:rPr>
          <w:color w:val="auto"/>
          <w:sz w:val="21"/>
          <w:szCs w:val="21"/>
          <w:highlight w:val="none"/>
          <w:u w:val="single"/>
        </w:rPr>
        <w:t>（或采购人）</w:t>
      </w:r>
      <w:r>
        <w:rPr>
          <w:color w:val="auto"/>
          <w:sz w:val="21"/>
          <w:szCs w:val="21"/>
          <w:highlight w:val="none"/>
        </w:rPr>
        <w:t>支付本采购文件公布的预算金额（或最高限价）的2%作为违约赔偿金（数量不确定的单价采购须约定具体金额）。</w:t>
      </w:r>
    </w:p>
    <w:p w14:paraId="1E962DB1">
      <w:pPr>
        <w:pStyle w:val="22"/>
        <w:numPr>
          <w:ilvl w:val="0"/>
          <w:numId w:val="7"/>
        </w:numPr>
        <w:tabs>
          <w:tab w:val="left" w:pos="567"/>
        </w:tabs>
        <w:spacing w:line="440" w:lineRule="exact"/>
        <w:ind w:left="709" w:hanging="425"/>
        <w:rPr>
          <w:color w:val="auto"/>
          <w:sz w:val="21"/>
          <w:szCs w:val="21"/>
          <w:highlight w:val="none"/>
        </w:rPr>
      </w:pPr>
      <w:r>
        <w:rPr>
          <w:color w:val="auto"/>
          <w:sz w:val="21"/>
          <w:szCs w:val="21"/>
          <w:highlight w:val="none"/>
        </w:rPr>
        <w:t>自投标（响应）截止时间至本项目发布中标（成交）公告为止，撤销投标（响应）；</w:t>
      </w:r>
    </w:p>
    <w:p w14:paraId="4F416947">
      <w:pPr>
        <w:pStyle w:val="22"/>
        <w:numPr>
          <w:ilvl w:val="0"/>
          <w:numId w:val="7"/>
        </w:numPr>
        <w:tabs>
          <w:tab w:val="left" w:pos="567"/>
        </w:tabs>
        <w:spacing w:line="440" w:lineRule="exact"/>
        <w:ind w:left="709" w:hanging="425"/>
        <w:rPr>
          <w:color w:val="auto"/>
          <w:sz w:val="21"/>
          <w:szCs w:val="21"/>
          <w:highlight w:val="none"/>
        </w:rPr>
      </w:pPr>
      <w:r>
        <w:rPr>
          <w:color w:val="auto"/>
          <w:sz w:val="21"/>
          <w:szCs w:val="21"/>
          <w:highlight w:val="none"/>
        </w:rPr>
        <w:t>中标（成交）后不依法与采购人签订合同；</w:t>
      </w:r>
    </w:p>
    <w:p w14:paraId="2B9DFB9C">
      <w:pPr>
        <w:pStyle w:val="22"/>
        <w:numPr>
          <w:ilvl w:val="0"/>
          <w:numId w:val="7"/>
        </w:numPr>
        <w:tabs>
          <w:tab w:val="left" w:pos="567"/>
        </w:tabs>
        <w:spacing w:line="440" w:lineRule="exact"/>
        <w:ind w:left="709" w:hanging="425"/>
        <w:rPr>
          <w:color w:val="auto"/>
          <w:sz w:val="21"/>
          <w:szCs w:val="21"/>
          <w:highlight w:val="none"/>
        </w:rPr>
      </w:pPr>
      <w:r>
        <w:rPr>
          <w:color w:val="auto"/>
          <w:sz w:val="21"/>
          <w:szCs w:val="21"/>
          <w:highlight w:val="none"/>
        </w:rPr>
        <w:t>中标（成交）后不按本采购文件规定向采购人提交履约保证金；</w:t>
      </w:r>
    </w:p>
    <w:p w14:paraId="33FBA2E6">
      <w:pPr>
        <w:pStyle w:val="22"/>
        <w:numPr>
          <w:ilvl w:val="0"/>
          <w:numId w:val="7"/>
        </w:numPr>
        <w:tabs>
          <w:tab w:val="left" w:pos="567"/>
        </w:tabs>
        <w:spacing w:line="440" w:lineRule="exact"/>
        <w:ind w:left="709" w:hanging="425"/>
        <w:rPr>
          <w:color w:val="auto"/>
          <w:sz w:val="21"/>
          <w:szCs w:val="21"/>
          <w:highlight w:val="none"/>
        </w:rPr>
      </w:pPr>
      <w:r>
        <w:rPr>
          <w:color w:val="auto"/>
          <w:sz w:val="21"/>
          <w:szCs w:val="21"/>
          <w:highlight w:val="none"/>
        </w:rPr>
        <w:t>中标（成交）后不按本采购文件规定向贵方缴纳采购代理费。</w:t>
      </w:r>
    </w:p>
    <w:p w14:paraId="65DC6568">
      <w:pPr>
        <w:pStyle w:val="22"/>
        <w:spacing w:line="440" w:lineRule="exact"/>
        <w:ind w:firstLine="600"/>
        <w:rPr>
          <w:color w:val="auto"/>
          <w:sz w:val="21"/>
          <w:szCs w:val="21"/>
          <w:highlight w:val="none"/>
        </w:rPr>
      </w:pPr>
      <w:r>
        <w:rPr>
          <w:color w:val="auto"/>
          <w:sz w:val="21"/>
          <w:szCs w:val="21"/>
          <w:highlight w:val="none"/>
        </w:rPr>
        <w:t>二、我单位知晓上述行为的法律后果，承认本承诺书作为贵方</w:t>
      </w:r>
      <w:r>
        <w:rPr>
          <w:color w:val="auto"/>
          <w:sz w:val="21"/>
          <w:szCs w:val="21"/>
          <w:highlight w:val="none"/>
          <w:u w:val="single"/>
        </w:rPr>
        <w:t>（或采购人）</w:t>
      </w:r>
      <w:r>
        <w:rPr>
          <w:color w:val="auto"/>
          <w:sz w:val="21"/>
          <w:szCs w:val="21"/>
          <w:highlight w:val="none"/>
        </w:rPr>
        <w:t>要求我单位履行违约赔偿义务的依据作用。</w:t>
      </w:r>
    </w:p>
    <w:p w14:paraId="5EAA68D4">
      <w:pPr>
        <w:pStyle w:val="22"/>
        <w:spacing w:line="440" w:lineRule="exact"/>
        <w:ind w:left="1560"/>
        <w:rPr>
          <w:color w:val="auto"/>
          <w:sz w:val="21"/>
          <w:szCs w:val="21"/>
          <w:highlight w:val="none"/>
        </w:rPr>
      </w:pPr>
      <w:r>
        <w:rPr>
          <w:color w:val="auto"/>
          <w:sz w:val="21"/>
          <w:szCs w:val="21"/>
          <w:highlight w:val="none"/>
        </w:rPr>
        <w:t> </w:t>
      </w:r>
    </w:p>
    <w:p w14:paraId="0AA98C4C">
      <w:pPr>
        <w:spacing w:line="440" w:lineRule="exact"/>
        <w:rPr>
          <w:color w:val="auto"/>
          <w:szCs w:val="21"/>
          <w:highlight w:val="none"/>
        </w:rPr>
      </w:pPr>
      <w:r>
        <w:rPr>
          <w:color w:val="auto"/>
          <w:szCs w:val="21"/>
          <w:highlight w:val="none"/>
        </w:rPr>
        <w:t>投标（响应）人：</w:t>
      </w:r>
      <w:r>
        <w:rPr>
          <w:color w:val="auto"/>
          <w:szCs w:val="21"/>
          <w:highlight w:val="none"/>
          <w:u w:val="single"/>
        </w:rPr>
        <w:t xml:space="preserve">                               </w:t>
      </w:r>
      <w:r>
        <w:rPr>
          <w:color w:val="auto"/>
          <w:szCs w:val="21"/>
          <w:highlight w:val="none"/>
        </w:rPr>
        <w:t>（盖公章）</w:t>
      </w:r>
    </w:p>
    <w:p w14:paraId="33BA756D">
      <w:pPr>
        <w:spacing w:line="440" w:lineRule="exact"/>
        <w:rPr>
          <w:color w:val="auto"/>
          <w:szCs w:val="21"/>
          <w:highlight w:val="none"/>
          <w:u w:val="single"/>
        </w:rPr>
      </w:pPr>
      <w:r>
        <w:rPr>
          <w:color w:val="auto"/>
          <w:szCs w:val="21"/>
          <w:highlight w:val="none"/>
        </w:rPr>
        <w:t>地址：</w:t>
      </w:r>
      <w:r>
        <w:rPr>
          <w:color w:val="auto"/>
          <w:szCs w:val="21"/>
          <w:highlight w:val="none"/>
          <w:u w:val="single"/>
        </w:rPr>
        <w:t>                               </w:t>
      </w:r>
    </w:p>
    <w:p w14:paraId="70E451E7">
      <w:pPr>
        <w:pStyle w:val="37"/>
        <w:spacing w:line="440" w:lineRule="exact"/>
        <w:ind w:firstLine="0"/>
        <w:rPr>
          <w:rFonts w:ascii="Times New Roman"/>
          <w:color w:val="auto"/>
          <w:szCs w:val="21"/>
          <w:highlight w:val="none"/>
          <w:u w:val="single"/>
        </w:rPr>
      </w:pPr>
      <w:r>
        <w:rPr>
          <w:rFonts w:ascii="Times New Roman"/>
          <w:color w:val="auto"/>
          <w:szCs w:val="21"/>
          <w:highlight w:val="none"/>
        </w:rPr>
        <w:t>电话：</w:t>
      </w:r>
      <w:r>
        <w:rPr>
          <w:rFonts w:ascii="Times New Roman"/>
          <w:color w:val="auto"/>
          <w:szCs w:val="21"/>
          <w:highlight w:val="none"/>
          <w:u w:val="single"/>
        </w:rPr>
        <w:t xml:space="preserve">                         </w:t>
      </w:r>
      <w:r>
        <w:rPr>
          <w:rFonts w:ascii="Times New Roman"/>
          <w:color w:val="auto"/>
          <w:szCs w:val="21"/>
          <w:highlight w:val="none"/>
        </w:rPr>
        <w:t xml:space="preserve">      传真：</w:t>
      </w:r>
      <w:r>
        <w:rPr>
          <w:rFonts w:ascii="Times New Roman"/>
          <w:color w:val="auto"/>
          <w:szCs w:val="21"/>
          <w:highlight w:val="none"/>
          <w:u w:val="single"/>
        </w:rPr>
        <w:t xml:space="preserve">                        </w:t>
      </w:r>
    </w:p>
    <w:p w14:paraId="17C85916">
      <w:pPr>
        <w:spacing w:line="440" w:lineRule="exact"/>
        <w:rPr>
          <w:color w:val="auto"/>
          <w:szCs w:val="21"/>
          <w:highlight w:val="none"/>
          <w:u w:val="single"/>
        </w:rPr>
      </w:pPr>
      <w:r>
        <w:rPr>
          <w:color w:val="auto"/>
          <w:szCs w:val="21"/>
          <w:highlight w:val="none"/>
        </w:rPr>
        <w:t>电子邮件：</w:t>
      </w:r>
      <w:r>
        <w:rPr>
          <w:color w:val="auto"/>
          <w:szCs w:val="21"/>
          <w:highlight w:val="none"/>
          <w:u w:val="single"/>
        </w:rPr>
        <w:t xml:space="preserve">                     </w:t>
      </w:r>
      <w:r>
        <w:rPr>
          <w:color w:val="auto"/>
          <w:szCs w:val="21"/>
          <w:highlight w:val="none"/>
        </w:rPr>
        <w:t xml:space="preserve">      邮编：</w:t>
      </w:r>
      <w:r>
        <w:rPr>
          <w:color w:val="auto"/>
          <w:szCs w:val="21"/>
          <w:highlight w:val="none"/>
          <w:u w:val="single"/>
        </w:rPr>
        <w:t xml:space="preserve">                       </w:t>
      </w:r>
    </w:p>
    <w:p w14:paraId="5866DEF9">
      <w:pPr>
        <w:pStyle w:val="37"/>
        <w:spacing w:line="440" w:lineRule="exact"/>
        <w:ind w:firstLine="0"/>
        <w:rPr>
          <w:rFonts w:ascii="Times New Roman"/>
          <w:color w:val="auto"/>
          <w:szCs w:val="21"/>
          <w:highlight w:val="none"/>
          <w:u w:val="single"/>
        </w:rPr>
      </w:pPr>
      <w:r>
        <w:rPr>
          <w:rFonts w:ascii="Times New Roman"/>
          <w:color w:val="auto"/>
          <w:szCs w:val="21"/>
          <w:highlight w:val="none"/>
        </w:rPr>
        <w:t>法定代表人或委托代理人（签字或盖章）：</w:t>
      </w:r>
      <w:r>
        <w:rPr>
          <w:rFonts w:ascii="Times New Roman"/>
          <w:color w:val="auto"/>
          <w:szCs w:val="21"/>
          <w:highlight w:val="none"/>
          <w:u w:val="single"/>
        </w:rPr>
        <w:t xml:space="preserve">                      </w:t>
      </w:r>
    </w:p>
    <w:p w14:paraId="0BB87399">
      <w:pPr>
        <w:spacing w:line="440" w:lineRule="exact"/>
        <w:rPr>
          <w:color w:val="auto"/>
          <w:szCs w:val="21"/>
          <w:highlight w:val="none"/>
        </w:rPr>
      </w:pPr>
      <w:r>
        <w:rPr>
          <w:color w:val="auto"/>
          <w:szCs w:val="21"/>
          <w:highlight w:val="none"/>
        </w:rPr>
        <w:t>日期：</w:t>
      </w:r>
      <w:r>
        <w:rPr>
          <w:color w:val="auto"/>
          <w:szCs w:val="21"/>
          <w:highlight w:val="none"/>
          <w:u w:val="single"/>
        </w:rPr>
        <w:t xml:space="preserve">                       </w:t>
      </w:r>
    </w:p>
    <w:p w14:paraId="72F05FF7">
      <w:pPr>
        <w:pStyle w:val="20"/>
        <w:ind w:right="420" w:firstLine="422"/>
        <w:rPr>
          <w:b/>
          <w:bCs/>
          <w:color w:val="auto"/>
          <w:kern w:val="2"/>
          <w:sz w:val="21"/>
          <w:szCs w:val="21"/>
          <w:highlight w:val="none"/>
        </w:rPr>
      </w:pPr>
    </w:p>
    <w:p w14:paraId="0B9D27EB">
      <w:pPr>
        <w:pStyle w:val="39"/>
        <w:ind w:firstLine="0" w:firstLineChars="0"/>
        <w:outlineLvl w:val="1"/>
        <w:rPr>
          <w:b/>
          <w:bCs/>
          <w:color w:val="auto"/>
          <w:szCs w:val="21"/>
          <w:highlight w:val="none"/>
        </w:rPr>
      </w:pPr>
      <w:r>
        <w:rPr>
          <w:rFonts w:hint="eastAsia"/>
          <w:b/>
          <w:color w:val="auto"/>
          <w:kern w:val="2"/>
          <w:sz w:val="21"/>
          <w:szCs w:val="21"/>
          <w:highlight w:val="none"/>
          <w:lang w:val="en-US"/>
        </w:rPr>
        <w:br w:type="page"/>
      </w:r>
      <w:r>
        <w:rPr>
          <w:rFonts w:hint="eastAsia"/>
          <w:b/>
          <w:color w:val="auto"/>
          <w:kern w:val="2"/>
          <w:sz w:val="21"/>
          <w:szCs w:val="21"/>
          <w:highlight w:val="none"/>
          <w:lang w:val="en-US"/>
        </w:rPr>
        <w:t>格式14：</w:t>
      </w:r>
      <w:r>
        <w:rPr>
          <w:rFonts w:hint="eastAsia" w:ascii="宋体" w:hAnsi="宋体" w:cs="宋体"/>
          <w:b/>
          <w:bCs/>
          <w:color w:val="auto"/>
          <w:sz w:val="21"/>
          <w:szCs w:val="21"/>
          <w:highlight w:val="none"/>
        </w:rPr>
        <w:t>具备履行合同所必需的设备和专业技术能力的书面声明</w:t>
      </w:r>
    </w:p>
    <w:p w14:paraId="15ADD92C">
      <w:pPr>
        <w:pStyle w:val="8"/>
        <w:adjustRightInd w:val="0"/>
        <w:snapToGrid w:val="0"/>
        <w:spacing w:line="440" w:lineRule="exact"/>
        <w:jc w:val="center"/>
        <w:rPr>
          <w:rFonts w:hint="eastAsia" w:ascii="宋体" w:hAnsi="宋体" w:cs="宋体"/>
          <w:b/>
          <w:bCs/>
          <w:color w:val="auto"/>
          <w:sz w:val="32"/>
          <w:szCs w:val="32"/>
          <w:highlight w:val="none"/>
        </w:rPr>
      </w:pPr>
    </w:p>
    <w:p w14:paraId="1BAD5674">
      <w:pPr>
        <w:pStyle w:val="8"/>
        <w:adjustRightInd w:val="0"/>
        <w:snapToGrid w:val="0"/>
        <w:spacing w:line="440" w:lineRule="exact"/>
        <w:jc w:val="center"/>
        <w:rPr>
          <w:rFonts w:hint="eastAsia" w:ascii="宋体" w:hAnsi="宋体" w:cs="宋体"/>
          <w:b/>
          <w:bCs/>
          <w:color w:val="auto"/>
          <w:sz w:val="32"/>
          <w:szCs w:val="32"/>
          <w:highlight w:val="none"/>
        </w:rPr>
      </w:pPr>
    </w:p>
    <w:p w14:paraId="0395E416">
      <w:pPr>
        <w:pStyle w:val="8"/>
        <w:adjustRightInd w:val="0"/>
        <w:snapToGrid w:val="0"/>
        <w:spacing w:line="440" w:lineRule="exact"/>
        <w:ind w:right="790" w:rightChars="376"/>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声    明</w:t>
      </w:r>
    </w:p>
    <w:p w14:paraId="36518A14">
      <w:pPr>
        <w:pStyle w:val="8"/>
        <w:adjustRightInd w:val="0"/>
        <w:snapToGrid w:val="0"/>
        <w:spacing w:line="440" w:lineRule="exact"/>
        <w:ind w:firstLine="440"/>
        <w:jc w:val="left"/>
        <w:rPr>
          <w:rFonts w:hint="eastAsia" w:ascii="宋体" w:hAnsi="宋体" w:cs="宋体"/>
          <w:color w:val="auto"/>
          <w:sz w:val="21"/>
          <w:szCs w:val="21"/>
          <w:highlight w:val="none"/>
        </w:rPr>
      </w:pPr>
    </w:p>
    <w:p w14:paraId="1C18B1D0">
      <w:pPr>
        <w:pStyle w:val="8"/>
        <w:adjustRightInd w:val="0"/>
        <w:snapToGrid w:val="0"/>
        <w:spacing w:line="440" w:lineRule="exact"/>
        <w:ind w:firstLine="440"/>
        <w:jc w:val="left"/>
        <w:rPr>
          <w:rFonts w:ascii="宋体" w:hAnsi="宋体" w:cs="宋体"/>
          <w:color w:val="auto"/>
          <w:sz w:val="21"/>
          <w:szCs w:val="21"/>
          <w:highlight w:val="none"/>
        </w:rPr>
      </w:pPr>
    </w:p>
    <w:p w14:paraId="568C6D04">
      <w:pPr>
        <w:pStyle w:val="8"/>
        <w:adjustRightInd w:val="0"/>
        <w:snapToGrid w:val="0"/>
        <w:spacing w:line="44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我单位郑重声明：</w:t>
      </w:r>
    </w:p>
    <w:p w14:paraId="2A484546">
      <w:pPr>
        <w:pStyle w:val="8"/>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我单位具备履行本项目</w:t>
      </w:r>
      <w:r>
        <w:rPr>
          <w:rFonts w:hint="eastAsia" w:ascii="宋体" w:hAnsi="宋体" w:cs="宋体"/>
          <w:color w:val="auto"/>
          <w:sz w:val="21"/>
          <w:szCs w:val="21"/>
          <w:highlight w:val="none"/>
          <w:lang w:val="en-US" w:eastAsia="zh-CN"/>
        </w:rPr>
        <w:t>政府</w:t>
      </w:r>
      <w:r>
        <w:rPr>
          <w:rFonts w:hint="eastAsia" w:ascii="宋体" w:hAnsi="宋体" w:cs="宋体"/>
          <w:color w:val="auto"/>
          <w:sz w:val="21"/>
          <w:szCs w:val="21"/>
          <w:highlight w:val="none"/>
        </w:rPr>
        <w:t>采购合同所必需的设备和专业技术能力。</w:t>
      </w:r>
    </w:p>
    <w:p w14:paraId="17CA780E">
      <w:pPr>
        <w:pStyle w:val="8"/>
        <w:adjustRightInd w:val="0"/>
        <w:snapToGrid w:val="0"/>
        <w:spacing w:line="440" w:lineRule="exact"/>
        <w:ind w:firstLine="440"/>
        <w:jc w:val="left"/>
        <w:rPr>
          <w:rFonts w:ascii="宋体" w:hAnsi="宋体" w:cs="宋体"/>
          <w:color w:val="auto"/>
          <w:sz w:val="21"/>
          <w:szCs w:val="21"/>
          <w:highlight w:val="none"/>
        </w:rPr>
      </w:pPr>
    </w:p>
    <w:p w14:paraId="6DA4FB4D">
      <w:pPr>
        <w:pStyle w:val="8"/>
        <w:adjustRightInd w:val="0"/>
        <w:snapToGrid w:val="0"/>
        <w:spacing w:line="440" w:lineRule="exact"/>
        <w:ind w:firstLine="440"/>
        <w:jc w:val="left"/>
        <w:rPr>
          <w:rFonts w:ascii="宋体" w:hAnsi="宋体" w:cs="宋体"/>
          <w:color w:val="auto"/>
          <w:sz w:val="21"/>
          <w:szCs w:val="21"/>
          <w:highlight w:val="none"/>
        </w:rPr>
      </w:pPr>
    </w:p>
    <w:p w14:paraId="06A955EC">
      <w:pPr>
        <w:pStyle w:val="8"/>
        <w:adjustRightInd w:val="0"/>
        <w:snapToGrid w:val="0"/>
        <w:spacing w:line="440" w:lineRule="exact"/>
        <w:ind w:firstLine="440"/>
        <w:jc w:val="left"/>
        <w:rPr>
          <w:rFonts w:ascii="宋体" w:hAnsi="宋体" w:cs="宋体"/>
          <w:color w:val="auto"/>
          <w:sz w:val="21"/>
          <w:szCs w:val="21"/>
          <w:highlight w:val="none"/>
        </w:rPr>
      </w:pPr>
    </w:p>
    <w:p w14:paraId="173533A5">
      <w:pPr>
        <w:pStyle w:val="8"/>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响应单位（加盖公章）：</w:t>
      </w:r>
    </w:p>
    <w:p w14:paraId="6DA2AAA3">
      <w:pPr>
        <w:pStyle w:val="8"/>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p>
    <w:p w14:paraId="43BF4C5E">
      <w:pPr>
        <w:pStyle w:val="8"/>
        <w:adjustRightInd w:val="0"/>
        <w:snapToGrid w:val="0"/>
        <w:ind w:firstLine="440"/>
        <w:jc w:val="left"/>
        <w:rPr>
          <w:rFonts w:ascii="宋体" w:hAnsi="宋体" w:cs="宋体"/>
          <w:color w:val="auto"/>
          <w:sz w:val="21"/>
          <w:szCs w:val="21"/>
          <w:highlight w:val="none"/>
        </w:rPr>
      </w:pPr>
    </w:p>
    <w:p w14:paraId="3EA5AFA9">
      <w:pPr>
        <w:pStyle w:val="8"/>
        <w:outlineLvl w:val="1"/>
        <w:rPr>
          <w:rFonts w:ascii="宋体" w:hAnsi="宋体" w:cs="宋体"/>
          <w:b/>
          <w:bCs/>
          <w:color w:val="auto"/>
          <w:sz w:val="21"/>
          <w:szCs w:val="21"/>
          <w:highlight w:val="none"/>
        </w:rPr>
      </w:pPr>
      <w:r>
        <w:rPr>
          <w:rFonts w:hint="eastAsia"/>
          <w:b/>
          <w:color w:val="auto"/>
          <w:sz w:val="21"/>
          <w:szCs w:val="21"/>
          <w:highlight w:val="none"/>
        </w:rPr>
        <w:br w:type="page"/>
      </w:r>
      <w:r>
        <w:rPr>
          <w:rFonts w:hint="eastAsia"/>
          <w:b/>
          <w:color w:val="auto"/>
          <w:sz w:val="21"/>
          <w:szCs w:val="21"/>
          <w:highlight w:val="none"/>
        </w:rPr>
        <w:t>格式1</w:t>
      </w:r>
      <w:r>
        <w:rPr>
          <w:rFonts w:hint="eastAsia"/>
          <w:b/>
          <w:color w:val="auto"/>
          <w:sz w:val="21"/>
          <w:szCs w:val="21"/>
          <w:highlight w:val="none"/>
          <w:lang w:val="en-US" w:eastAsia="zh-CN"/>
        </w:rPr>
        <w:t>5</w:t>
      </w:r>
      <w:r>
        <w:rPr>
          <w:rFonts w:hint="eastAsia"/>
          <w:b/>
          <w:color w:val="auto"/>
          <w:sz w:val="21"/>
          <w:szCs w:val="21"/>
          <w:highlight w:val="none"/>
        </w:rPr>
        <w:t>：</w:t>
      </w:r>
      <w:r>
        <w:rPr>
          <w:rFonts w:hint="eastAsia" w:ascii="宋体" w:hAnsi="宋体" w:cs="宋体"/>
          <w:b/>
          <w:color w:val="auto"/>
          <w:sz w:val="21"/>
          <w:szCs w:val="21"/>
          <w:highlight w:val="none"/>
        </w:rPr>
        <w:t>参加政府采购活动前3年内在经营活动中没有重大违法记录的书面声明</w:t>
      </w:r>
    </w:p>
    <w:p w14:paraId="5210E238">
      <w:pPr>
        <w:pStyle w:val="8"/>
        <w:adjustRightInd w:val="0"/>
        <w:snapToGrid w:val="0"/>
        <w:spacing w:line="440" w:lineRule="exact"/>
        <w:jc w:val="center"/>
        <w:rPr>
          <w:rFonts w:hint="eastAsia" w:ascii="宋体" w:hAnsi="宋体" w:cs="宋体"/>
          <w:b/>
          <w:bCs/>
          <w:color w:val="auto"/>
          <w:sz w:val="32"/>
          <w:szCs w:val="32"/>
          <w:highlight w:val="none"/>
        </w:rPr>
      </w:pPr>
    </w:p>
    <w:p w14:paraId="30519E6A">
      <w:pPr>
        <w:pStyle w:val="8"/>
        <w:adjustRightInd w:val="0"/>
        <w:snapToGrid w:val="0"/>
        <w:spacing w:line="440" w:lineRule="exact"/>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声    明</w:t>
      </w:r>
    </w:p>
    <w:p w14:paraId="1384DE89">
      <w:pPr>
        <w:pStyle w:val="8"/>
        <w:adjustRightInd w:val="0"/>
        <w:snapToGrid w:val="0"/>
        <w:spacing w:line="440" w:lineRule="exact"/>
        <w:ind w:firstLine="440"/>
        <w:jc w:val="left"/>
        <w:rPr>
          <w:rFonts w:ascii="宋体" w:hAnsi="宋体" w:cs="宋体"/>
          <w:color w:val="auto"/>
          <w:sz w:val="21"/>
          <w:szCs w:val="21"/>
          <w:highlight w:val="none"/>
        </w:rPr>
      </w:pPr>
    </w:p>
    <w:p w14:paraId="228F9960">
      <w:pPr>
        <w:pStyle w:val="8"/>
        <w:adjustRightInd w:val="0"/>
        <w:snapToGrid w:val="0"/>
        <w:spacing w:line="440" w:lineRule="exact"/>
        <w:ind w:firstLine="442"/>
        <w:jc w:val="left"/>
        <w:rPr>
          <w:rFonts w:ascii="宋体" w:hAnsi="宋体" w:cs="宋体"/>
          <w:color w:val="auto"/>
          <w:sz w:val="21"/>
          <w:szCs w:val="21"/>
          <w:highlight w:val="none"/>
        </w:rPr>
      </w:pPr>
      <w:r>
        <w:rPr>
          <w:rFonts w:hint="eastAsia" w:ascii="宋体" w:hAnsi="宋体" w:cs="宋体"/>
          <w:color w:val="auto"/>
          <w:sz w:val="21"/>
          <w:szCs w:val="21"/>
          <w:highlight w:val="none"/>
        </w:rPr>
        <w:t>我单位郑重声明：参加本次政府采购活动前3年内，我单位在经营活动中没有因违法经营受到刑事处罚或者责令停产停业、吊销许可证或者执照、较大数额罚款等行政处罚。</w:t>
      </w:r>
    </w:p>
    <w:p w14:paraId="17912375">
      <w:pPr>
        <w:pStyle w:val="8"/>
        <w:adjustRightInd w:val="0"/>
        <w:snapToGrid w:val="0"/>
        <w:spacing w:line="440" w:lineRule="exact"/>
        <w:ind w:firstLine="440"/>
        <w:jc w:val="left"/>
        <w:rPr>
          <w:rFonts w:ascii="宋体" w:hAnsi="宋体" w:cs="宋体"/>
          <w:color w:val="auto"/>
          <w:sz w:val="21"/>
          <w:szCs w:val="21"/>
          <w:highlight w:val="none"/>
        </w:rPr>
      </w:pPr>
    </w:p>
    <w:p w14:paraId="058F15EE">
      <w:pPr>
        <w:pStyle w:val="8"/>
        <w:adjustRightInd w:val="0"/>
        <w:snapToGrid w:val="0"/>
        <w:spacing w:line="440" w:lineRule="exact"/>
        <w:ind w:firstLine="440"/>
        <w:jc w:val="left"/>
        <w:rPr>
          <w:rFonts w:ascii="宋体" w:hAnsi="宋体" w:cs="宋体"/>
          <w:color w:val="auto"/>
          <w:sz w:val="21"/>
          <w:szCs w:val="21"/>
          <w:highlight w:val="none"/>
        </w:rPr>
      </w:pPr>
    </w:p>
    <w:p w14:paraId="08285F68">
      <w:pPr>
        <w:pStyle w:val="8"/>
        <w:adjustRightInd w:val="0"/>
        <w:snapToGrid w:val="0"/>
        <w:spacing w:line="440" w:lineRule="exact"/>
        <w:ind w:firstLine="440"/>
        <w:jc w:val="left"/>
        <w:rPr>
          <w:rFonts w:ascii="宋体" w:hAnsi="宋体" w:cs="宋体"/>
          <w:color w:val="auto"/>
          <w:sz w:val="21"/>
          <w:szCs w:val="21"/>
          <w:highlight w:val="none"/>
        </w:rPr>
      </w:pPr>
    </w:p>
    <w:p w14:paraId="625C04AE">
      <w:pPr>
        <w:pStyle w:val="8"/>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响应单位（加盖公章）：</w:t>
      </w:r>
    </w:p>
    <w:p w14:paraId="27DBA417">
      <w:pPr>
        <w:pStyle w:val="8"/>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p>
    <w:p w14:paraId="7BAD4CE2">
      <w:pPr>
        <w:rPr>
          <w:b/>
          <w:color w:val="auto"/>
          <w:szCs w:val="21"/>
          <w:highlight w:val="none"/>
        </w:rPr>
      </w:pPr>
    </w:p>
    <w:p w14:paraId="0EEADF3E">
      <w:pPr>
        <w:jc w:val="left"/>
        <w:outlineLvl w:val="1"/>
        <w:rPr>
          <w:color w:val="auto"/>
          <w:szCs w:val="21"/>
          <w:highlight w:val="none"/>
        </w:rPr>
      </w:pPr>
    </w:p>
    <w:p w14:paraId="0A7E0926">
      <w:pPr>
        <w:jc w:val="left"/>
        <w:rPr>
          <w:color w:val="auto"/>
          <w:szCs w:val="21"/>
          <w:highlight w:val="none"/>
        </w:rPr>
      </w:pPr>
    </w:p>
    <w:p w14:paraId="4D5202BC">
      <w:pPr>
        <w:widowControl w:val="0"/>
        <w:spacing w:line="360" w:lineRule="auto"/>
        <w:jc w:val="both"/>
        <w:rPr>
          <w:rFonts w:hint="default" w:ascii="宋体" w:hAnsi="宋体" w:eastAsia="宋体" w:cs="宋体"/>
          <w:b/>
          <w:color w:val="auto"/>
          <w:sz w:val="21"/>
          <w:szCs w:val="21"/>
          <w:highlight w:val="none"/>
        </w:rPr>
      </w:pPr>
      <w:r>
        <w:rPr>
          <w:b/>
          <w:bCs/>
          <w:color w:val="auto"/>
          <w:szCs w:val="21"/>
          <w:highlight w:val="none"/>
        </w:rPr>
        <w:br w:type="page"/>
      </w:r>
      <w:bookmarkEnd w:id="5"/>
      <w:bookmarkEnd w:id="17"/>
      <w:bookmarkEnd w:id="18"/>
      <w:bookmarkStart w:id="38" w:name="_Toc30743"/>
      <w:r>
        <w:rPr>
          <w:rFonts w:hint="eastAsia"/>
          <w:b/>
          <w:color w:val="auto"/>
          <w:sz w:val="21"/>
          <w:szCs w:val="21"/>
          <w:highlight w:val="none"/>
        </w:rPr>
        <w:t>格式1</w:t>
      </w:r>
      <w:r>
        <w:rPr>
          <w:rFonts w:hint="eastAsia"/>
          <w:b/>
          <w:color w:val="auto"/>
          <w:sz w:val="21"/>
          <w:szCs w:val="21"/>
          <w:highlight w:val="none"/>
          <w:lang w:val="en-US" w:eastAsia="zh-CN"/>
        </w:rPr>
        <w:t>6</w:t>
      </w:r>
      <w:r>
        <w:rPr>
          <w:rFonts w:hint="eastAsia"/>
          <w:b/>
          <w:color w:val="auto"/>
          <w:sz w:val="21"/>
          <w:szCs w:val="21"/>
          <w:highlight w:val="none"/>
        </w:rPr>
        <w:t>：</w:t>
      </w:r>
      <w:r>
        <w:rPr>
          <w:rFonts w:hint="eastAsia" w:ascii="宋体" w:hAnsi="宋体" w:eastAsia="宋体" w:cs="宋体"/>
          <w:b/>
          <w:color w:val="auto"/>
          <w:sz w:val="21"/>
          <w:szCs w:val="21"/>
          <w:highlight w:val="none"/>
        </w:rPr>
        <w:t>政府采购合同信用融资政策告知函（本附件无需盖章放置投标文件中）</w:t>
      </w:r>
    </w:p>
    <w:p w14:paraId="4FFECEC4">
      <w:pPr>
        <w:spacing w:line="360" w:lineRule="auto"/>
        <w:jc w:val="center"/>
        <w:rPr>
          <w:rFonts w:hint="default" w:ascii="宋体" w:hAnsi="宋体" w:eastAsia="宋体" w:cs="宋体"/>
          <w:b/>
          <w:color w:val="auto"/>
          <w:kern w:val="0"/>
          <w:szCs w:val="21"/>
          <w:highlight w:val="none"/>
        </w:rPr>
      </w:pPr>
    </w:p>
    <w:p w14:paraId="7B53D3CD">
      <w:pPr>
        <w:spacing w:line="360" w:lineRule="auto"/>
        <w:jc w:val="center"/>
        <w:rPr>
          <w:rFonts w:hint="default"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政府采购合同信用融资政策告知函</w:t>
      </w:r>
    </w:p>
    <w:p w14:paraId="77F7BA9F">
      <w:pPr>
        <w:spacing w:line="360" w:lineRule="auto"/>
        <w:rPr>
          <w:rFonts w:hint="default"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各政府采购供应商:</w:t>
      </w:r>
    </w:p>
    <w:p w14:paraId="3C825A20">
      <w:pPr>
        <w:spacing w:line="360" w:lineRule="auto"/>
        <w:ind w:firstLine="42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欢迎贵公司参加苏州市政府采购活动！</w:t>
      </w:r>
    </w:p>
    <w:p w14:paraId="393831F4">
      <w:pPr>
        <w:spacing w:line="360" w:lineRule="auto"/>
        <w:ind w:firstLine="420"/>
        <w:rPr>
          <w:rFonts w:hint="eastAsia" w:hAnsi="宋体" w:cs="宋体" w:eastAsiaTheme="minorEastAsia"/>
          <w:color w:val="auto"/>
          <w:spacing w:val="6"/>
          <w:sz w:val="21"/>
          <w:szCs w:val="21"/>
          <w:highlight w:val="none"/>
          <w:lang w:eastAsia="zh-CN"/>
        </w:rPr>
        <w:sectPr>
          <w:footerReference r:id="rId8" w:type="default"/>
          <w:pgSz w:w="11906" w:h="16838"/>
          <w:pgMar w:top="1440" w:right="1417" w:bottom="1440" w:left="1417" w:header="964" w:footer="1077" w:gutter="0"/>
          <w:pgNumType w:fmt="decimal" w:start="1"/>
          <w:cols w:space="720" w:num="1"/>
          <w:docGrid w:linePitch="360" w:charSpace="0"/>
        </w:sectPr>
      </w:pPr>
      <w:r>
        <w:rPr>
          <w:rFonts w:hint="eastAsia" w:ascii="宋体" w:hAnsi="宋体" w:eastAsia="宋体" w:cs="宋体"/>
          <w:color w:val="auto"/>
          <w:sz w:val="21"/>
          <w:szCs w:val="21"/>
          <w:highlight w:val="none"/>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w:t>
      </w:r>
      <w:r>
        <w:rPr>
          <w:rFonts w:hint="eastAsia" w:hAnsi="宋体" w:cs="宋体"/>
          <w:color w:val="auto"/>
          <w:sz w:val="21"/>
          <w:szCs w:val="21"/>
          <w:highlight w:val="none"/>
        </w:rPr>
        <w:t>优惠的贷款服务</w:t>
      </w:r>
      <w:r>
        <w:rPr>
          <w:rFonts w:hint="eastAsia" w:hAnsi="宋体" w:cs="宋体"/>
          <w:color w:val="auto"/>
          <w:sz w:val="21"/>
          <w:szCs w:val="21"/>
          <w:highlight w:val="none"/>
          <w:lang w:eastAsia="zh-CN"/>
        </w:rPr>
        <w:t>。</w:t>
      </w:r>
    </w:p>
    <w:p w14:paraId="0DB194D7">
      <w:pPr>
        <w:pStyle w:val="13"/>
        <w:outlineLvl w:val="1"/>
        <w:rPr>
          <w:rFonts w:hint="eastAsia" w:hAnsi="宋体" w:cs="宋体"/>
          <w:b/>
          <w:bCs/>
          <w:color w:val="auto"/>
          <w:szCs w:val="21"/>
          <w:highlight w:val="none"/>
          <w:lang w:val="zh-CN"/>
        </w:rPr>
      </w:pPr>
      <w:r>
        <w:rPr>
          <w:rFonts w:hint="eastAsia" w:hAnsi="宋体" w:cs="宋体"/>
          <w:b/>
          <w:color w:val="auto"/>
          <w:szCs w:val="21"/>
          <w:highlight w:val="none"/>
        </w:rPr>
        <w:t>格式</w:t>
      </w:r>
      <w:r>
        <w:rPr>
          <w:rFonts w:hint="eastAsia" w:hAnsi="宋体" w:cs="宋体"/>
          <w:b/>
          <w:color w:val="auto"/>
          <w:szCs w:val="21"/>
          <w:highlight w:val="none"/>
          <w:lang w:val="en-US" w:eastAsia="zh-CN"/>
        </w:rPr>
        <w:t>17</w:t>
      </w:r>
      <w:r>
        <w:rPr>
          <w:rFonts w:hint="eastAsia" w:hAnsi="宋体" w:cs="宋体"/>
          <w:b/>
          <w:color w:val="auto"/>
          <w:szCs w:val="21"/>
          <w:highlight w:val="none"/>
        </w:rPr>
        <w:t>：</w:t>
      </w:r>
      <w:r>
        <w:rPr>
          <w:rFonts w:hint="eastAsia" w:hAnsi="宋体" w:cs="宋体"/>
          <w:b/>
          <w:bCs/>
          <w:color w:val="auto"/>
          <w:szCs w:val="21"/>
          <w:highlight w:val="none"/>
          <w:lang w:val="zh-CN"/>
        </w:rPr>
        <w:t>承诺函（</w:t>
      </w:r>
      <w:r>
        <w:rPr>
          <w:rFonts w:hint="eastAsia" w:hAnsi="宋体" w:cs="宋体"/>
          <w:b/>
          <w:bCs/>
          <w:color w:val="auto"/>
          <w:szCs w:val="21"/>
          <w:highlight w:val="none"/>
          <w:lang w:val="en-US" w:eastAsia="zh-CN"/>
        </w:rPr>
        <w:t>格式自拟</w:t>
      </w:r>
      <w:r>
        <w:rPr>
          <w:rFonts w:hint="eastAsia" w:hAnsi="宋体" w:cs="宋体"/>
          <w:b/>
          <w:bCs/>
          <w:color w:val="auto"/>
          <w:szCs w:val="21"/>
          <w:highlight w:val="none"/>
          <w:lang w:val="zh-CN"/>
        </w:rPr>
        <w:t>）</w:t>
      </w:r>
    </w:p>
    <w:p w14:paraId="1A6FA855">
      <w:pPr>
        <w:pStyle w:val="13"/>
        <w:outlineLvl w:val="1"/>
        <w:rPr>
          <w:rFonts w:hint="eastAsia" w:hAnsi="宋体" w:cs="宋体"/>
          <w:b/>
          <w:bCs/>
          <w:color w:val="auto"/>
          <w:szCs w:val="21"/>
          <w:highlight w:val="none"/>
          <w:lang w:val="zh-CN"/>
        </w:rPr>
      </w:pPr>
    </w:p>
    <w:p w14:paraId="23425F5D">
      <w:pPr>
        <w:pStyle w:val="13"/>
        <w:jc w:val="center"/>
        <w:outlineLvl w:val="1"/>
        <w:rPr>
          <w:b/>
          <w:color w:val="auto"/>
          <w:sz w:val="44"/>
          <w:szCs w:val="44"/>
          <w:highlight w:val="none"/>
          <w:lang w:val="zh-CN"/>
        </w:rPr>
      </w:pPr>
      <w:r>
        <w:rPr>
          <w:b/>
          <w:bCs/>
          <w:color w:val="auto"/>
          <w:szCs w:val="21"/>
          <w:highlight w:val="none"/>
          <w:lang w:eastAsia="zh-CN"/>
        </w:rPr>
        <w:br w:type="page"/>
      </w:r>
      <w:r>
        <w:rPr>
          <w:b/>
          <w:color w:val="auto"/>
          <w:sz w:val="36"/>
          <w:szCs w:val="36"/>
          <w:highlight w:val="none"/>
          <w:lang w:val="zh-CN"/>
        </w:rPr>
        <w:t>第</w:t>
      </w:r>
      <w:r>
        <w:rPr>
          <w:b/>
          <w:color w:val="auto"/>
          <w:sz w:val="36"/>
          <w:szCs w:val="36"/>
          <w:highlight w:val="none"/>
        </w:rPr>
        <w:t>四</w:t>
      </w:r>
      <w:r>
        <w:rPr>
          <w:b/>
          <w:color w:val="auto"/>
          <w:sz w:val="36"/>
          <w:szCs w:val="36"/>
          <w:highlight w:val="none"/>
          <w:lang w:val="zh-CN"/>
        </w:rPr>
        <w:t xml:space="preserve">章 </w:t>
      </w:r>
      <w:r>
        <w:rPr>
          <w:b/>
          <w:color w:val="auto"/>
          <w:sz w:val="36"/>
          <w:szCs w:val="36"/>
          <w:highlight w:val="none"/>
        </w:rPr>
        <w:t>采购需求</w:t>
      </w:r>
      <w:bookmarkEnd w:id="38"/>
    </w:p>
    <w:p w14:paraId="5D2FFF82">
      <w:pPr>
        <w:pStyle w:val="13"/>
        <w:numPr>
          <w:ilvl w:val="0"/>
          <w:numId w:val="8"/>
        </w:numPr>
        <w:spacing w:line="440" w:lineRule="exact"/>
        <w:ind w:left="0" w:leftChars="0" w:firstLine="422" w:firstLineChars="200"/>
        <w:outlineLvl w:val="1"/>
        <w:rPr>
          <w:rFonts w:ascii="Times New Roman" w:hAnsi="Times New Roman"/>
          <w:color w:val="auto"/>
          <w:szCs w:val="21"/>
          <w:highlight w:val="none"/>
        </w:rPr>
      </w:pPr>
      <w:bookmarkStart w:id="39" w:name="_Toc12134"/>
      <w:bookmarkStart w:id="40" w:name="_Toc17214"/>
      <w:bookmarkStart w:id="41" w:name="_Toc457140875"/>
      <w:bookmarkStart w:id="42" w:name="_Toc6806"/>
      <w:bookmarkStart w:id="43" w:name="_Toc7702"/>
      <w:bookmarkStart w:id="44" w:name="_Toc61514585"/>
      <w:bookmarkStart w:id="45" w:name="_Toc21253"/>
      <w:r>
        <w:rPr>
          <w:rFonts w:ascii="Times New Roman" w:hAnsi="Times New Roman"/>
          <w:b/>
          <w:color w:val="auto"/>
          <w:szCs w:val="21"/>
          <w:highlight w:val="none"/>
        </w:rPr>
        <w:t>项目编号：</w:t>
      </w:r>
      <w:bookmarkEnd w:id="39"/>
      <w:bookmarkEnd w:id="40"/>
      <w:r>
        <w:rPr>
          <w:rFonts w:hint="eastAsia" w:ascii="Times New Roman" w:hAnsi="Times New Roman"/>
          <w:b w:val="0"/>
          <w:bCs/>
          <w:color w:val="auto"/>
          <w:szCs w:val="21"/>
          <w:highlight w:val="none"/>
          <w:lang w:eastAsia="zh-CN"/>
        </w:rPr>
        <w:t xml:space="preserve">JSZC-320509-DLZB-C2026-0010   </w:t>
      </w:r>
      <w:r>
        <w:rPr>
          <w:rFonts w:hint="eastAsia" w:ascii="Times New Roman" w:hAnsi="Times New Roman"/>
          <w:color w:val="auto"/>
          <w:szCs w:val="21"/>
          <w:highlight w:val="none"/>
          <w:lang w:eastAsia="zh-CN"/>
        </w:rPr>
        <w:t xml:space="preserve">    </w:t>
      </w:r>
    </w:p>
    <w:p w14:paraId="7FC84D59">
      <w:pPr>
        <w:pStyle w:val="13"/>
        <w:numPr>
          <w:ilvl w:val="0"/>
          <w:numId w:val="8"/>
        </w:numPr>
        <w:spacing w:line="440" w:lineRule="exact"/>
        <w:ind w:left="0" w:leftChars="0" w:firstLine="422" w:firstLineChars="200"/>
        <w:outlineLvl w:val="1"/>
        <w:rPr>
          <w:rFonts w:hint="eastAsia" w:ascii="Times New Roman" w:hAnsi="Times New Roman"/>
          <w:color w:val="auto"/>
          <w:szCs w:val="21"/>
          <w:highlight w:val="none"/>
        </w:rPr>
      </w:pPr>
      <w:bookmarkStart w:id="46" w:name="_Toc5265"/>
      <w:bookmarkStart w:id="47" w:name="_Toc13980"/>
      <w:r>
        <w:rPr>
          <w:rFonts w:ascii="Times New Roman" w:hAnsi="Times New Roman"/>
          <w:b/>
          <w:color w:val="auto"/>
          <w:szCs w:val="21"/>
          <w:highlight w:val="none"/>
        </w:rPr>
        <w:t>项目名称：</w:t>
      </w:r>
      <w:bookmarkEnd w:id="46"/>
      <w:bookmarkEnd w:id="47"/>
      <w:r>
        <w:rPr>
          <w:rFonts w:hint="eastAsia"/>
          <w:color w:val="auto"/>
          <w:highlight w:val="none"/>
          <w:lang w:eastAsia="zh-CN"/>
        </w:rPr>
        <w:t xml:space="preserve"> </w:t>
      </w:r>
      <w:r>
        <w:rPr>
          <w:rFonts w:hint="eastAsia" w:hAnsi="宋体" w:cs="宋体"/>
          <w:color w:val="auto"/>
          <w:kern w:val="0"/>
          <w:szCs w:val="21"/>
          <w:highlight w:val="none"/>
          <w:lang w:eastAsia="zh-CN"/>
        </w:rPr>
        <w:t>江苏盛泽医院保安服务</w:t>
      </w:r>
      <w:r>
        <w:rPr>
          <w:rFonts w:hint="eastAsia"/>
          <w:color w:val="auto"/>
          <w:highlight w:val="none"/>
          <w:lang w:eastAsia="zh-CN"/>
        </w:rPr>
        <w:t xml:space="preserve">      </w:t>
      </w:r>
    </w:p>
    <w:p w14:paraId="351A02FA">
      <w:pPr>
        <w:pStyle w:val="13"/>
        <w:numPr>
          <w:ilvl w:val="0"/>
          <w:numId w:val="8"/>
        </w:numPr>
        <w:spacing w:line="440" w:lineRule="exact"/>
        <w:ind w:left="0" w:leftChars="0" w:firstLine="422" w:firstLineChars="200"/>
        <w:outlineLvl w:val="1"/>
        <w:rPr>
          <w:rFonts w:hint="eastAsia"/>
          <w:color w:val="auto"/>
          <w:kern w:val="0"/>
          <w:szCs w:val="21"/>
          <w:highlight w:val="none"/>
        </w:rPr>
      </w:pPr>
      <w:bookmarkStart w:id="48" w:name="_Toc22839"/>
      <w:bookmarkStart w:id="49" w:name="_Toc10355"/>
      <w:r>
        <w:rPr>
          <w:rFonts w:ascii="Times New Roman" w:hAnsi="Times New Roman"/>
          <w:b/>
          <w:color w:val="auto"/>
          <w:szCs w:val="21"/>
          <w:highlight w:val="none"/>
        </w:rPr>
        <w:t>项目预算：</w:t>
      </w:r>
      <w:bookmarkEnd w:id="48"/>
      <w:bookmarkEnd w:id="49"/>
      <w:r>
        <w:rPr>
          <w:rFonts w:hint="eastAsia" w:hAnsi="宋体" w:cs="宋体"/>
          <w:color w:val="auto"/>
          <w:kern w:val="0"/>
          <w:szCs w:val="21"/>
          <w:highlight w:val="none"/>
          <w:lang w:eastAsia="zh-CN"/>
        </w:rPr>
        <w:t>人民币叁佰玖拾万元整（¥3900000.00）（人民币壹佰玖拾伍万元整（¥1950000.00）/年）</w:t>
      </w:r>
      <w:r>
        <w:rPr>
          <w:rFonts w:hint="eastAsia"/>
          <w:color w:val="auto"/>
          <w:szCs w:val="21"/>
          <w:highlight w:val="none"/>
          <w:lang w:eastAsia="zh-CN"/>
        </w:rPr>
        <w:t xml:space="preserve">       </w:t>
      </w:r>
    </w:p>
    <w:p w14:paraId="59251B8A">
      <w:pPr>
        <w:pStyle w:val="13"/>
        <w:numPr>
          <w:ilvl w:val="0"/>
          <w:numId w:val="8"/>
        </w:numPr>
        <w:spacing w:line="440" w:lineRule="exact"/>
        <w:ind w:left="0" w:leftChars="0" w:firstLine="422" w:firstLineChars="200"/>
        <w:outlineLvl w:val="1"/>
        <w:rPr>
          <w:rFonts w:ascii="Times New Roman" w:hAnsi="Times New Roman"/>
          <w:bCs/>
          <w:color w:val="auto"/>
          <w:szCs w:val="21"/>
          <w:highlight w:val="none"/>
        </w:rPr>
      </w:pPr>
      <w:r>
        <w:rPr>
          <w:rFonts w:hint="eastAsia"/>
          <w:b/>
          <w:bCs/>
          <w:color w:val="auto"/>
          <w:kern w:val="0"/>
          <w:szCs w:val="21"/>
          <w:highlight w:val="none"/>
        </w:rPr>
        <w:t>最高限价：</w:t>
      </w:r>
      <w:r>
        <w:rPr>
          <w:rFonts w:hint="eastAsia" w:hAnsi="宋体" w:cs="宋体"/>
          <w:color w:val="auto"/>
          <w:kern w:val="0"/>
          <w:szCs w:val="21"/>
          <w:highlight w:val="none"/>
          <w:lang w:eastAsia="zh-CN"/>
        </w:rPr>
        <w:t>人民币叁佰玖拾万元整（¥3900000.00）（人民币壹佰玖拾伍万元整（¥1950000.00）/年）</w:t>
      </w:r>
      <w:r>
        <w:rPr>
          <w:rFonts w:hint="eastAsia"/>
          <w:color w:val="auto"/>
          <w:szCs w:val="21"/>
          <w:highlight w:val="none"/>
          <w:lang w:val="en-US" w:eastAsia="zh-CN"/>
        </w:rPr>
        <w:t xml:space="preserve">  </w:t>
      </w:r>
    </w:p>
    <w:p w14:paraId="5B98C26E">
      <w:pPr>
        <w:pStyle w:val="13"/>
        <w:numPr>
          <w:ilvl w:val="0"/>
          <w:numId w:val="8"/>
        </w:numPr>
        <w:spacing w:line="440" w:lineRule="exact"/>
        <w:ind w:left="0" w:leftChars="0" w:firstLine="422" w:firstLineChars="200"/>
        <w:outlineLvl w:val="1"/>
        <w:rPr>
          <w:rFonts w:ascii="Times New Roman" w:hAnsi="Times New Roman"/>
          <w:bCs/>
          <w:color w:val="auto"/>
          <w:szCs w:val="21"/>
          <w:highlight w:val="none"/>
        </w:rPr>
      </w:pPr>
      <w:r>
        <w:rPr>
          <w:rFonts w:hint="eastAsia"/>
          <w:b/>
          <w:color w:val="auto"/>
          <w:kern w:val="0"/>
          <w:szCs w:val="21"/>
          <w:highlight w:val="none"/>
          <w:lang w:eastAsia="zh-CN"/>
        </w:rPr>
        <w:t>服务期限</w:t>
      </w:r>
      <w:r>
        <w:rPr>
          <w:rFonts w:hint="eastAsia"/>
          <w:b/>
          <w:color w:val="auto"/>
          <w:kern w:val="0"/>
          <w:szCs w:val="21"/>
          <w:highlight w:val="none"/>
        </w:rPr>
        <w:t>：</w:t>
      </w:r>
      <w:r>
        <w:rPr>
          <w:rFonts w:hint="eastAsia" w:hAnsi="宋体"/>
          <w:color w:val="auto"/>
          <w:szCs w:val="21"/>
          <w:highlight w:val="none"/>
          <w:lang w:eastAsia="zh-CN"/>
        </w:rPr>
        <w:t>两年（具体按采购单位要求）</w:t>
      </w:r>
      <w:r>
        <w:rPr>
          <w:rFonts w:hint="eastAsia" w:hAnsi="宋体"/>
          <w:color w:val="auto"/>
          <w:highlight w:val="none"/>
        </w:rPr>
        <w:t>。</w:t>
      </w:r>
    </w:p>
    <w:p w14:paraId="2FC16676">
      <w:pPr>
        <w:pStyle w:val="13"/>
        <w:numPr>
          <w:ilvl w:val="0"/>
          <w:numId w:val="8"/>
        </w:numPr>
        <w:spacing w:line="440" w:lineRule="exact"/>
        <w:ind w:left="0" w:leftChars="0" w:firstLine="422" w:firstLineChars="200"/>
        <w:outlineLvl w:val="1"/>
        <w:rPr>
          <w:rFonts w:hint="eastAsia" w:hAnsi="宋体"/>
          <w:b/>
          <w:color w:val="auto"/>
          <w:highlight w:val="none"/>
        </w:rPr>
      </w:pPr>
      <w:r>
        <w:rPr>
          <w:rFonts w:hint="eastAsia" w:hAnsi="宋体"/>
          <w:b/>
          <w:color w:val="auto"/>
          <w:highlight w:val="none"/>
        </w:rPr>
        <w:t>采购内容及要求：</w:t>
      </w:r>
    </w:p>
    <w:p w14:paraId="58718E41">
      <w:pPr>
        <w:spacing w:line="400" w:lineRule="exact"/>
        <w:ind w:firstLine="420"/>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（一）</w:t>
      </w:r>
      <w:r>
        <w:rPr>
          <w:rFonts w:hint="eastAsia" w:ascii="宋体" w:hAnsi="宋体" w:eastAsia="宋体" w:cs="宋体"/>
          <w:color w:val="auto"/>
          <w:kern w:val="0"/>
          <w:szCs w:val="21"/>
          <w:highlight w:val="none"/>
          <w:lang w:val="zh-CN"/>
        </w:rPr>
        <w:t>服务范围：江苏盛泽医院门诊部、急诊部、住院部、学术活动中心、放疗中心、</w:t>
      </w:r>
      <w:r>
        <w:rPr>
          <w:rFonts w:hint="eastAsia" w:ascii="宋体" w:hAnsi="宋体" w:eastAsia="宋体" w:cs="宋体"/>
          <w:color w:val="auto"/>
          <w:kern w:val="0"/>
          <w:szCs w:val="21"/>
          <w:highlight w:val="none"/>
        </w:rPr>
        <w:t>公共卫生综合楼、停车场、食堂、锅炉房、地下室的医疗秩序维护、治安防范、全院范围内的人员</w:t>
      </w:r>
      <w:r>
        <w:rPr>
          <w:rFonts w:hint="eastAsia" w:ascii="宋体" w:hAnsi="宋体" w:eastAsia="宋体" w:cs="宋体"/>
          <w:color w:val="auto"/>
          <w:kern w:val="0"/>
          <w:szCs w:val="21"/>
          <w:highlight w:val="none"/>
          <w:lang w:val="zh-CN"/>
        </w:rPr>
        <w:t>、设备设施的安全保卫管理。</w:t>
      </w:r>
    </w:p>
    <w:p w14:paraId="176B280F">
      <w:pPr>
        <w:spacing w:line="400" w:lineRule="exact"/>
        <w:ind w:firstLine="420"/>
        <w:rPr>
          <w:rFonts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（二）</w:t>
      </w:r>
      <w:r>
        <w:rPr>
          <w:rFonts w:hint="eastAsia" w:ascii="宋体" w:hAnsi="宋体" w:eastAsia="宋体" w:cs="宋体"/>
          <w:color w:val="auto"/>
          <w:kern w:val="0"/>
          <w:szCs w:val="21"/>
          <w:highlight w:val="none"/>
          <w:lang w:val="zh-CN"/>
        </w:rPr>
        <w:t>服务地点：盛泽镇市场西路1399号江苏盛泽医院所属范围。</w:t>
      </w:r>
    </w:p>
    <w:p w14:paraId="04EC9621">
      <w:pPr>
        <w:spacing w:line="400" w:lineRule="exact"/>
        <w:ind w:firstLine="42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（三）具</w:t>
      </w:r>
      <w:r>
        <w:rPr>
          <w:rFonts w:hint="eastAsia" w:ascii="宋体" w:hAnsi="宋体" w:eastAsia="宋体" w:cs="宋体"/>
          <w:color w:val="auto"/>
          <w:kern w:val="0"/>
          <w:szCs w:val="21"/>
          <w:highlight w:val="none"/>
          <w:lang w:val="zh-CN"/>
        </w:rPr>
        <w:t>体</w:t>
      </w:r>
      <w:r>
        <w:rPr>
          <w:rFonts w:hint="eastAsia" w:ascii="宋体" w:hAnsi="宋体" w:cs="宋体"/>
          <w:color w:val="auto"/>
          <w:kern w:val="0"/>
          <w:szCs w:val="21"/>
          <w:highlight w:val="none"/>
          <w:lang w:val="zh-CN"/>
        </w:rPr>
        <w:t>保安服务</w:t>
      </w:r>
      <w:r>
        <w:rPr>
          <w:rFonts w:hint="eastAsia" w:ascii="宋体" w:hAnsi="宋体" w:eastAsia="宋体" w:cs="宋体"/>
          <w:color w:val="auto"/>
          <w:kern w:val="0"/>
          <w:szCs w:val="21"/>
          <w:highlight w:val="none"/>
          <w:lang w:val="zh-CN"/>
        </w:rPr>
        <w:t>岗位分配及人数：</w:t>
      </w:r>
    </w:p>
    <w:tbl>
      <w:tblPr>
        <w:tblStyle w:val="27"/>
        <w:tblW w:w="90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5"/>
        <w:gridCol w:w="3315"/>
        <w:gridCol w:w="960"/>
        <w:gridCol w:w="1815"/>
        <w:gridCol w:w="2235"/>
      </w:tblGrid>
      <w:tr w14:paraId="57AA1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209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3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C89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位置</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E78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人数</w:t>
            </w:r>
          </w:p>
        </w:tc>
        <w:tc>
          <w:tcPr>
            <w:tcW w:w="1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9B2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时间</w:t>
            </w:r>
          </w:p>
        </w:tc>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6EC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6D73E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336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722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门诊入口处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6C1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1C9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3CC5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r>
      <w:tr w14:paraId="3391B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9B2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93D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门诊大厅扶梯口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87F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B30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FFF3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r>
      <w:tr w14:paraId="56CAA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BA2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D7F8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门诊车辆管理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74C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E60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0D24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r>
      <w:tr w14:paraId="1AC5A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D70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58A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急诊入口管理兼车辆管理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A17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894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5B8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每班1人在岗</w:t>
            </w:r>
          </w:p>
        </w:tc>
      </w:tr>
      <w:tr w14:paraId="6F4BC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AF0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F26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急诊大厅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223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E5B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E4E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每班1人在岗</w:t>
            </w:r>
          </w:p>
        </w:tc>
      </w:tr>
      <w:tr w14:paraId="31D0F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EFF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6A7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放射科等候区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8CD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0AA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BF6F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r>
      <w:tr w14:paraId="459A5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1A4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2AC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住院部北侧车辆管理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448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EB5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1D67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r>
      <w:tr w14:paraId="01A04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6CC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5B6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住院部电梯口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B67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365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75E4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r>
      <w:tr w14:paraId="5581E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D0C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E25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体检中心大厅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163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605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B034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r>
      <w:tr w14:paraId="73A3E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375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8B2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住院部西侧车辆管理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6C5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0E8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019B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r>
      <w:tr w14:paraId="01CD4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431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2360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岗亭收费处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ABE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902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65F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每班1人在岗</w:t>
            </w:r>
          </w:p>
        </w:tc>
      </w:tr>
      <w:tr w14:paraId="00054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5C8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3EA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行政楼西门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97F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C86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5123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r>
      <w:tr w14:paraId="3A366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667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BB1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行政楼北门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288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5E6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FA15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r>
      <w:tr w14:paraId="4B711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517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BC6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监控室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E6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442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CFC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每班1人在岗</w:t>
            </w:r>
          </w:p>
        </w:tc>
      </w:tr>
      <w:tr w14:paraId="26A44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83F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E24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三班班长现场管理</w:t>
            </w:r>
            <w:r>
              <w:rPr>
                <w:rFonts w:hint="eastAsia" w:ascii="宋体" w:hAnsi="宋体" w:cs="宋体"/>
                <w:b w:val="0"/>
                <w:bCs w:val="0"/>
                <w:i w:val="0"/>
                <w:iCs w:val="0"/>
                <w:color w:val="auto"/>
                <w:kern w:val="0"/>
                <w:sz w:val="21"/>
                <w:szCs w:val="21"/>
                <w:highlight w:val="none"/>
                <w:u w:val="none"/>
                <w:lang w:val="en-US" w:eastAsia="zh-CN" w:bidi="ar"/>
              </w:rPr>
              <w:t>（安全巡逻）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F19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787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73F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每班1人在岗</w:t>
            </w:r>
          </w:p>
        </w:tc>
      </w:tr>
      <w:tr w14:paraId="12653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02D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9D0C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大停车场车辆管理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71A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FE3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B19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每班2人在岗</w:t>
            </w:r>
          </w:p>
        </w:tc>
      </w:tr>
      <w:tr w14:paraId="7F463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10F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166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397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7F9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452C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r>
      <w:tr w14:paraId="0AC55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0F2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3FF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队长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CB7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518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3FBD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r>
      <w:tr w14:paraId="65905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C64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B55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公卫楼一楼大厅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04B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B38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387E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r>
      <w:tr w14:paraId="1F685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BC4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0C51EE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预备调休顶班人员</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6EF129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17955E2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6569CF5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r>
      <w:tr w14:paraId="5BFA1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4E2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6C0B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4A3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90A3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6754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highlight w:val="none"/>
                <w:u w:val="none"/>
              </w:rPr>
            </w:pPr>
          </w:p>
        </w:tc>
      </w:tr>
    </w:tbl>
    <w:p w14:paraId="5FC16BD2">
      <w:pPr>
        <w:widowControl w:val="0"/>
        <w:spacing w:line="360" w:lineRule="auto"/>
        <w:ind w:firstLine="0" w:firstLineChars="0"/>
        <w:jc w:val="left"/>
        <w:rPr>
          <w:rFonts w:hint="eastAsia" w:ascii="Times New Roman" w:hAnsi="Times New Roman" w:eastAsia="宋体" w:cs="Times New Roman"/>
          <w:b/>
          <w:bCs/>
          <w:color w:val="auto"/>
          <w:kern w:val="2"/>
          <w:sz w:val="21"/>
          <w:szCs w:val="21"/>
          <w:highlight w:val="none"/>
          <w:u w:val="double"/>
          <w:lang w:val="en-US" w:eastAsia="zh-CN" w:bidi="ar-SA"/>
        </w:rPr>
      </w:pPr>
      <w:r>
        <w:rPr>
          <w:rFonts w:hint="eastAsia" w:ascii="宋体" w:hAnsi="宋体" w:eastAsia="宋体" w:cs="宋体"/>
          <w:b/>
          <w:bCs/>
          <w:color w:val="auto"/>
          <w:kern w:val="2"/>
          <w:sz w:val="21"/>
          <w:szCs w:val="21"/>
          <w:highlight w:val="none"/>
          <w:u w:val="double"/>
          <w:lang w:val="en-US" w:eastAsia="zh-CN" w:bidi="ar-SA"/>
        </w:rPr>
        <w:t>★</w:t>
      </w:r>
      <w:r>
        <w:rPr>
          <w:rFonts w:hint="eastAsia" w:ascii="Times New Roman" w:hAnsi="宋体" w:eastAsia="宋体" w:cs="宋体"/>
          <w:b/>
          <w:bCs/>
          <w:color w:val="auto"/>
          <w:kern w:val="2"/>
          <w:sz w:val="21"/>
          <w:szCs w:val="21"/>
          <w:highlight w:val="none"/>
          <w:u w:val="double"/>
          <w:lang w:val="en-US" w:eastAsia="zh-CN" w:bidi="ar-SA"/>
        </w:rPr>
        <w:t>实质性条款</w:t>
      </w:r>
      <w:r>
        <w:rPr>
          <w:rFonts w:hint="eastAsia" w:ascii="Times New Roman" w:hAnsi="Times New Roman" w:eastAsia="宋体" w:cs="Times New Roman"/>
          <w:b/>
          <w:bCs/>
          <w:color w:val="auto"/>
          <w:kern w:val="2"/>
          <w:sz w:val="21"/>
          <w:szCs w:val="21"/>
          <w:highlight w:val="none"/>
          <w:u w:val="double"/>
          <w:lang w:val="en-US" w:eastAsia="zh-CN" w:bidi="ar-SA"/>
        </w:rPr>
        <w:t>磋商响应单位须作出在成交公告发布之日起</w:t>
      </w:r>
      <w:r>
        <w:rPr>
          <w:rFonts w:hint="eastAsia" w:ascii="宋体" w:hAnsi="宋体" w:eastAsia="宋体" w:cs="宋体"/>
          <w:b/>
          <w:color w:val="auto"/>
          <w:kern w:val="2"/>
          <w:sz w:val="21"/>
          <w:szCs w:val="21"/>
          <w:highlight w:val="none"/>
          <w:u w:val="double"/>
          <w:lang w:val="en-US" w:eastAsia="zh-CN" w:bidi="ar-SA"/>
        </w:rPr>
        <w:t>7日内进场前满足人员</w:t>
      </w:r>
      <w:r>
        <w:rPr>
          <w:rFonts w:hint="eastAsia" w:ascii="Times New Roman" w:hAnsi="Times New Roman" w:eastAsia="宋体" w:cs="Times New Roman"/>
          <w:b/>
          <w:bCs/>
          <w:color w:val="auto"/>
          <w:kern w:val="2"/>
          <w:sz w:val="21"/>
          <w:szCs w:val="21"/>
          <w:highlight w:val="none"/>
          <w:u w:val="double"/>
          <w:lang w:val="en-US" w:eastAsia="zh-CN" w:bidi="ar-SA"/>
        </w:rPr>
        <w:t>要求的承诺，承诺函加盖响应单位公章上传至实质性条款中，否则为无效响应文件。</w:t>
      </w:r>
    </w:p>
    <w:p w14:paraId="225175B8">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（1）服务质量要求</w:t>
      </w:r>
    </w:p>
    <w:p w14:paraId="2A1DE764">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保证所管区域的正常工作秩序，防范失火、失盗、破坏、自然灾害事故发生,对各种突发事件能及时处理控制，为医院提供安全的工作生活环境。</w:t>
      </w:r>
    </w:p>
    <w:p w14:paraId="5842AF1C">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（2）对安保人员的要求：</w:t>
      </w:r>
    </w:p>
    <w:p w14:paraId="11449F77">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1）身体条件：男性身高原则在170cm以上，</w:t>
      </w:r>
      <w:bookmarkStart w:id="50" w:name="_Hlk168302748"/>
      <w:r>
        <w:rPr>
          <w:rFonts w:hint="eastAsia" w:ascii="宋体" w:hAnsi="宋体" w:eastAsia="宋体" w:cs="宋体"/>
          <w:color w:val="auto"/>
          <w:kern w:val="0"/>
          <w:sz w:val="21"/>
          <w:szCs w:val="21"/>
          <w:highlight w:val="none"/>
        </w:rPr>
        <w:t>双眼裸视5.0，身体健康，相貌端正，仪表大方，无传染性疾病，</w:t>
      </w:r>
      <w:bookmarkEnd w:id="50"/>
      <w:r>
        <w:rPr>
          <w:rFonts w:hint="eastAsia" w:ascii="宋体" w:hAnsi="宋体" w:eastAsia="宋体" w:cs="宋体"/>
          <w:color w:val="auto"/>
          <w:kern w:val="0"/>
          <w:sz w:val="21"/>
          <w:szCs w:val="21"/>
          <w:highlight w:val="none"/>
        </w:rPr>
        <w:t>年龄18—</w:t>
      </w:r>
      <w:r>
        <w:rPr>
          <w:rFonts w:hint="eastAsia" w:ascii="宋体" w:hAnsi="宋体" w:cs="宋体"/>
          <w:color w:val="auto"/>
          <w:kern w:val="0"/>
          <w:sz w:val="21"/>
          <w:szCs w:val="21"/>
          <w:highlight w:val="none"/>
          <w:lang w:val="en-US" w:eastAsia="zh-CN"/>
        </w:rPr>
        <w:t>60</w:t>
      </w:r>
      <w:r>
        <w:rPr>
          <w:rFonts w:hint="eastAsia" w:ascii="宋体" w:hAnsi="宋体" w:eastAsia="宋体" w:cs="宋体"/>
          <w:color w:val="auto"/>
          <w:kern w:val="0"/>
          <w:sz w:val="21"/>
          <w:szCs w:val="21"/>
          <w:highlight w:val="none"/>
        </w:rPr>
        <w:t>岁之间；女性保安身高原则在155cm以上，双眼裸视5.0，身体健康，相貌端正，仪表大方，无传染性疾病，年龄18—5</w:t>
      </w:r>
      <w:r>
        <w:rPr>
          <w:rFonts w:hint="eastAsia" w:ascii="宋体" w:hAnsi="宋体" w:cs="宋体"/>
          <w:color w:val="auto"/>
          <w:kern w:val="0"/>
          <w:sz w:val="21"/>
          <w:szCs w:val="21"/>
          <w:highlight w:val="none"/>
          <w:lang w:val="en-US" w:eastAsia="zh-CN"/>
        </w:rPr>
        <w:t>0</w:t>
      </w:r>
      <w:r>
        <w:rPr>
          <w:rFonts w:hint="eastAsia" w:ascii="宋体" w:hAnsi="宋体" w:eastAsia="宋体" w:cs="宋体"/>
          <w:color w:val="auto"/>
          <w:kern w:val="0"/>
          <w:sz w:val="21"/>
          <w:szCs w:val="21"/>
          <w:highlight w:val="none"/>
        </w:rPr>
        <w:t>岁之间。</w:t>
      </w:r>
    </w:p>
    <w:p w14:paraId="10A646FD">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政治素质：拥护党的路线、方针、政策，尊重领导和服务对象，服从安排，听从指挥，无违法犯罪记录等。爱岗敬业，恪尽职守，遵纪守法，文明执勤，礼貌待人，敢于同违法犯罪现象作斗争。具备相关法律法规知识及安保知识和消防知识，具备一定的语言和文字表达能力。</w:t>
      </w:r>
    </w:p>
    <w:p w14:paraId="55FE1892">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3）文化条件：具备初中以上文化，具备良好的语言表达及沟通协调能力。</w:t>
      </w:r>
    </w:p>
    <w:p w14:paraId="10018FE1">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4）拟派的安保人员均须持有公安部门颁发的“安保员证”方能上岗。</w:t>
      </w:r>
    </w:p>
    <w:p w14:paraId="26F9615D">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5）为保障医院的临时救护工作，拟派的安保人员以3人及以上具有红十字部门颁发的救护员证为优。</w:t>
      </w:r>
    </w:p>
    <w:p w14:paraId="4818F038">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cs="宋体"/>
          <w:color w:val="auto"/>
          <w:kern w:val="0"/>
          <w:sz w:val="21"/>
          <w:szCs w:val="21"/>
          <w:highlight w:val="none"/>
          <w:lang w:eastAsia="zh-CN"/>
        </w:rPr>
        <w:t>保安服务</w:t>
      </w:r>
      <w:r>
        <w:rPr>
          <w:rFonts w:hint="eastAsia" w:ascii="宋体" w:hAnsi="宋体" w:eastAsia="宋体" w:cs="宋体"/>
          <w:color w:val="auto"/>
          <w:kern w:val="0"/>
          <w:sz w:val="21"/>
          <w:szCs w:val="21"/>
          <w:highlight w:val="none"/>
        </w:rPr>
        <w:t>基本要求</w:t>
      </w:r>
    </w:p>
    <w:p w14:paraId="7FC48076">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1）安保公司必须具</w:t>
      </w:r>
      <w:r>
        <w:rPr>
          <w:rFonts w:hint="eastAsia" w:ascii="宋体" w:hAnsi="宋体" w:cs="宋体"/>
          <w:color w:val="auto"/>
          <w:kern w:val="0"/>
          <w:sz w:val="21"/>
          <w:szCs w:val="21"/>
          <w:highlight w:val="none"/>
          <w:lang w:eastAsia="zh-CN"/>
        </w:rPr>
        <w:t>保安服务</w:t>
      </w:r>
      <w:r>
        <w:rPr>
          <w:rFonts w:hint="eastAsia" w:ascii="宋体" w:hAnsi="宋体" w:eastAsia="宋体" w:cs="宋体"/>
          <w:color w:val="auto"/>
          <w:kern w:val="0"/>
          <w:sz w:val="21"/>
          <w:szCs w:val="21"/>
          <w:highlight w:val="none"/>
        </w:rPr>
        <w:t>的实际经验；拥有素质良好的安保队伍，有一套完整的医院安保运作方法和严格的操作规程，制定科学、严格的管理制度和工作质量标准，具有三级医院安保经历者从优。</w:t>
      </w:r>
    </w:p>
    <w:p w14:paraId="30813331">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2）安保队员要有良好的职业道德和服务态度，对医务人员和患者和家属要以礼相待。着装统一、整洁，动作规范，语言文明，形象良好。</w:t>
      </w:r>
    </w:p>
    <w:p w14:paraId="6795B03F">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3）服从医院领导的工作安排，接受医院的监督和检查。医院有权要求更换工作态度不好、工作能力差的安保队员。</w:t>
      </w:r>
    </w:p>
    <w:p w14:paraId="74974BBB">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4）不断提高员工的素质。要求经常对安保队员进行培训，同时对安保队员工作进行考核，提高工作质量。</w:t>
      </w:r>
    </w:p>
    <w:p w14:paraId="6B4145E2">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5）按设置要求安排安保队员值班</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并保证满员上岗。</w:t>
      </w:r>
    </w:p>
    <w:p w14:paraId="4222E02B">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6）合理安排机动人员，协调好在岗队员就餐、上卫生间等特殊安排，以保证不空岗。</w:t>
      </w:r>
    </w:p>
    <w:p w14:paraId="4EFEAF35">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7）协助医院的消防：安保员要经常参加消防知识培训及学习基本的操作规程，不断提高对医院消防安全的认识和实际技能的操作，一旦出现火情第一时间赶赴现场并能有效正确实施灭火。</w:t>
      </w:r>
    </w:p>
    <w:p w14:paraId="1B945913">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8）负责医院的日常安保工作：24小时监控，定时巡查（常规两小时一次），重点监控门诊区域、出入院处、病房、停车场、药库、宿舍及其他公共区域；负责医院内的车辆管理。</w:t>
      </w:r>
    </w:p>
    <w:p w14:paraId="2529F90F">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负责医院医务人员工作时间的人身安全，一旦出现医患纠纷，安保人员要第一时间赶赴现场维护秩序。20分钟内独立并有效制止在工作区域烧纸、摆花圈、拉横幅、设灵堂等影响医院形象干扰医疗秩序的行为，必要时安保公司队员要求公安机关出面并有效积极配合。如无法有效控制场面的，医院有权按合同约定扣除服务费。</w:t>
      </w:r>
    </w:p>
    <w:p w14:paraId="56446F0B">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10）维护医院的正常秩序，协助公安机关打击不法分子对医院的干扰，特别是对医托、盗窃分子的打击。</w:t>
      </w:r>
    </w:p>
    <w:p w14:paraId="1A64D47C">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11）医院提供安保员24小时值班室，其他所有项目及费用由投标人承担。</w:t>
      </w:r>
    </w:p>
    <w:p w14:paraId="29386A92">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12）不按照合约规定工作，不符合医院要求，医院有权提出异议甚至终止合同。</w:t>
      </w:r>
    </w:p>
    <w:p w14:paraId="745D2E7D">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13）安保人员按编制人员如数配齐，年龄要求18—</w:t>
      </w:r>
      <w:r>
        <w:rPr>
          <w:rFonts w:hint="eastAsia" w:ascii="宋体" w:hAnsi="宋体" w:cs="宋体"/>
          <w:color w:val="auto"/>
          <w:kern w:val="0"/>
          <w:sz w:val="21"/>
          <w:szCs w:val="21"/>
          <w:highlight w:val="none"/>
          <w:lang w:val="en-US" w:eastAsia="zh-CN"/>
        </w:rPr>
        <w:t>60</w:t>
      </w:r>
      <w:r>
        <w:rPr>
          <w:rFonts w:hint="eastAsia" w:ascii="宋体" w:hAnsi="宋体" w:eastAsia="宋体" w:cs="宋体"/>
          <w:color w:val="auto"/>
          <w:kern w:val="0"/>
          <w:sz w:val="21"/>
          <w:szCs w:val="21"/>
          <w:highlight w:val="none"/>
        </w:rPr>
        <w:t>岁，</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50周岁以下占总人数比重不低于20%</w:t>
      </w:r>
      <w:r>
        <w:rPr>
          <w:rFonts w:hint="eastAsia" w:ascii="宋体" w:hAnsi="宋体" w:eastAsia="宋体" w:cs="宋体"/>
          <w:color w:val="auto"/>
          <w:kern w:val="0"/>
          <w:sz w:val="21"/>
          <w:szCs w:val="21"/>
          <w:highlight w:val="none"/>
        </w:rPr>
        <w:t>。</w:t>
      </w:r>
    </w:p>
    <w:p w14:paraId="35CD6E3E">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安保人员应服从医院及安保公司的双重管理。安保人员应认真履行岗位职责，遵守医院的规章制度，服从医院保卫处根据工作需要做出的统一安排调配，遇紧急突发事件发生，必须积极作为。医院有权对安保人员的工作进行检查、督促、考核，对不称职的安保提出批评、教育及经济处罚，屡教不改者，医院有权随时提出更换安保人员，对公司业绩进行考核，对公司适当处罚。</w:t>
      </w:r>
    </w:p>
    <w:p w14:paraId="250B0BAE">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15)安保公司应具备应急队伍，在发生人员紧缺或紧急事故（如重要检查、重要嘉宾参观、医闹、火灾等）时，能及时到达现场并按照要求完成任务。</w:t>
      </w:r>
    </w:p>
    <w:p w14:paraId="700029C4">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16)医院对</w:t>
      </w:r>
      <w:r>
        <w:rPr>
          <w:rFonts w:hint="eastAsia" w:ascii="宋体" w:hAnsi="宋体" w:cs="宋体"/>
          <w:color w:val="auto"/>
          <w:kern w:val="0"/>
          <w:sz w:val="21"/>
          <w:szCs w:val="21"/>
          <w:highlight w:val="none"/>
          <w:lang w:eastAsia="zh-CN"/>
        </w:rPr>
        <w:t>保安服务</w:t>
      </w:r>
      <w:r>
        <w:rPr>
          <w:rFonts w:hint="eastAsia" w:ascii="宋体" w:hAnsi="宋体" w:eastAsia="宋体" w:cs="宋体"/>
          <w:color w:val="auto"/>
          <w:kern w:val="0"/>
          <w:sz w:val="21"/>
          <w:szCs w:val="21"/>
          <w:highlight w:val="none"/>
        </w:rPr>
        <w:t>逐月进行百分考核，考核内容涵盖：完成工作内容、服务投诉、满意度调查等。</w:t>
      </w:r>
    </w:p>
    <w:p w14:paraId="2C7CD653">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 各项职责</w:t>
      </w:r>
    </w:p>
    <w:p w14:paraId="4C36FFAD">
      <w:pPr>
        <w:spacing w:before="50" w:line="400" w:lineRule="exact"/>
        <w:ind w:firstLine="420" w:firstLineChars="20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项目经理要求及职责</w:t>
      </w:r>
      <w:r>
        <w:rPr>
          <w:rFonts w:hint="eastAsia"/>
          <w:color w:val="auto"/>
          <w:highlight w:val="none"/>
          <w:lang w:eastAsia="zh-CN"/>
        </w:rPr>
        <w:t>（项目经理要求及职责：工作时间无要求，负责甲方和乙方的沟通协调工作事宜，费用自理。）</w:t>
      </w:r>
    </w:p>
    <w:p w14:paraId="74FB5B4C">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1）经常组织全班人员，学习贯彻执行国家的有关法律法规、方针、政策，杜绝违法犯罪事件发生。</w:t>
      </w:r>
    </w:p>
    <w:p w14:paraId="61C20D34">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）掌握全班人员的思想情况，及时针对性地做好思想教育和引导工作，搞好全班团结，保证全班各项工作任务顺利、圆满完成。</w:t>
      </w:r>
    </w:p>
    <w:p w14:paraId="6C8164D8">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）经常组织</w:t>
      </w:r>
      <w:r>
        <w:rPr>
          <w:rFonts w:hint="eastAsia" w:ascii="宋体" w:hAnsi="宋体" w:cs="宋体"/>
          <w:color w:val="auto"/>
          <w:kern w:val="0"/>
          <w:sz w:val="21"/>
          <w:szCs w:val="21"/>
          <w:highlight w:val="none"/>
          <w:lang w:val="en-US" w:eastAsia="zh-CN"/>
        </w:rPr>
        <w:t>全班</w:t>
      </w:r>
      <w:r>
        <w:rPr>
          <w:rFonts w:hint="eastAsia" w:ascii="宋体" w:hAnsi="宋体" w:eastAsia="宋体" w:cs="宋体"/>
          <w:color w:val="auto"/>
          <w:kern w:val="0"/>
          <w:sz w:val="21"/>
          <w:szCs w:val="21"/>
          <w:highlight w:val="none"/>
        </w:rPr>
        <w:t>人员学习培训，</w:t>
      </w:r>
      <w:r>
        <w:rPr>
          <w:rFonts w:hint="eastAsia" w:ascii="宋体" w:hAnsi="宋体" w:cs="宋体"/>
          <w:color w:val="auto"/>
          <w:kern w:val="0"/>
          <w:sz w:val="21"/>
          <w:szCs w:val="21"/>
          <w:highlight w:val="none"/>
          <w:lang w:val="en-US" w:eastAsia="zh-CN"/>
        </w:rPr>
        <w:t>开展反恐演练，</w:t>
      </w:r>
      <w:r>
        <w:rPr>
          <w:rFonts w:hint="eastAsia" w:ascii="宋体" w:hAnsi="宋体" w:eastAsia="宋体" w:cs="宋体"/>
          <w:color w:val="auto"/>
          <w:kern w:val="0"/>
          <w:sz w:val="21"/>
          <w:szCs w:val="21"/>
          <w:highlight w:val="none"/>
        </w:rPr>
        <w:t>不断地提高队员的思想素质、业务技能，规范</w:t>
      </w:r>
      <w:r>
        <w:rPr>
          <w:rFonts w:hint="eastAsia" w:ascii="宋体" w:hAnsi="宋体" w:cs="宋体"/>
          <w:color w:val="auto"/>
          <w:kern w:val="0"/>
          <w:sz w:val="21"/>
          <w:szCs w:val="21"/>
          <w:highlight w:val="none"/>
          <w:lang w:val="en-US" w:eastAsia="zh-CN"/>
        </w:rPr>
        <w:t>队员</w:t>
      </w:r>
      <w:r>
        <w:rPr>
          <w:rFonts w:hint="eastAsia" w:ascii="宋体" w:hAnsi="宋体" w:eastAsia="宋体" w:cs="宋体"/>
          <w:color w:val="auto"/>
          <w:kern w:val="0"/>
          <w:sz w:val="21"/>
          <w:szCs w:val="21"/>
          <w:highlight w:val="none"/>
        </w:rPr>
        <w:t>的言行举止，强化队员依法文明值班、执勤和爱岗敬业精神，正确处置工作中的事宜，为</w:t>
      </w:r>
      <w:r>
        <w:rPr>
          <w:rFonts w:hint="eastAsia" w:ascii="宋体" w:hAnsi="宋体" w:cs="宋体"/>
          <w:color w:val="auto"/>
          <w:kern w:val="0"/>
          <w:sz w:val="21"/>
          <w:szCs w:val="21"/>
          <w:highlight w:val="none"/>
          <w:lang w:val="en-US" w:eastAsia="zh-CN"/>
        </w:rPr>
        <w:t>医院</w:t>
      </w:r>
      <w:r>
        <w:rPr>
          <w:rFonts w:hint="eastAsia" w:ascii="宋体" w:hAnsi="宋体" w:eastAsia="宋体" w:cs="宋体"/>
          <w:color w:val="auto"/>
          <w:kern w:val="0"/>
          <w:sz w:val="21"/>
          <w:szCs w:val="21"/>
          <w:highlight w:val="none"/>
        </w:rPr>
        <w:t>树造优良形象。</w:t>
      </w:r>
    </w:p>
    <w:p w14:paraId="0B407F64">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）按规定组织召开班会，讲评每位队员的工作情况，分析研讨工作中存在的问题，针对性的采取措施，做好记录。</w:t>
      </w:r>
    </w:p>
    <w:p w14:paraId="634E3370">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）带领全班积极主动完成上级交办的其他工作任务。</w:t>
      </w:r>
    </w:p>
    <w:p w14:paraId="4A18458D">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)以具有大专及以上学历为优。</w:t>
      </w:r>
    </w:p>
    <w:p w14:paraId="20310159">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）以具有人力资源和社会保障厅颁发的（高级）三级安保员证为优。</w:t>
      </w:r>
    </w:p>
    <w:p w14:paraId="130D85FB">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医院安保人员职责</w:t>
      </w:r>
    </w:p>
    <w:p w14:paraId="08D9AF13">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1）在保卫科长领导下，严格遵守国家法律、法规和医院规章制度，着装整齐，热情服务，文明执勤、通信畅通 ，树立文明窗口形象。</w:t>
      </w:r>
    </w:p>
    <w:p w14:paraId="221E2AEB">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2）热爱保卫工作，有极强安全责任心，高度的警觉性，为维持医院良好的就医环境认真工作，保障医院和病人的人身财产安全。</w:t>
      </w:r>
    </w:p>
    <w:p w14:paraId="7A6149FE">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3）严格执行交接班制度，认真做好值班、交班记录，按时交接班，交接时将注意事项及未尽事宜交接清楚。</w:t>
      </w:r>
    </w:p>
    <w:p w14:paraId="01608033">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4）坚守岗位，按时上下班，不擅离职守，工作时间不从事与本职工作无关的事情，严格执行保卫制度，极积配合其他人员认真做好安全保卫工作。 </w:t>
      </w:r>
    </w:p>
    <w:p w14:paraId="6E22DFCB">
      <w:pPr>
        <w:spacing w:before="50" w:line="400" w:lineRule="exact"/>
        <w:ind w:firstLine="420" w:firstLineChars="20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5）负责医院内公共场所治安秩序。实行24小时全天候巡逻值班，加强对医院重点部位和夜间的巡查，认真做好巡查记录，提高警惕，加强防范，防止火、盗及其它灾害事故的发生</w:t>
      </w:r>
      <w:r>
        <w:rPr>
          <w:rFonts w:hint="eastAsia" w:ascii="宋体" w:hAnsi="宋体" w:cs="宋体"/>
          <w:color w:val="auto"/>
          <w:kern w:val="0"/>
          <w:sz w:val="21"/>
          <w:szCs w:val="21"/>
          <w:highlight w:val="none"/>
          <w:lang w:val="en-US" w:eastAsia="zh-CN"/>
        </w:rPr>
        <w:t>。</w:t>
      </w:r>
    </w:p>
    <w:p w14:paraId="4AF06296">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6）对医院内发生的各种纠纷事件、聚众闹事、打架斗殴等违犯治安管理条例的行为，应及时到场处理，并报告上级领导，必要时配合公安部门做好案件的侦破及社会治安和防范打击工作。</w:t>
      </w:r>
    </w:p>
    <w:p w14:paraId="0302F2D5">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r>
        <w:rPr>
          <w:rFonts w:hint="eastAsia" w:ascii="宋体" w:hAnsi="宋体" w:cs="宋体"/>
          <w:color w:val="auto"/>
          <w:kern w:val="0"/>
          <w:sz w:val="21"/>
          <w:szCs w:val="21"/>
          <w:highlight w:val="none"/>
          <w:lang w:val="en-US" w:eastAsia="zh-CN"/>
        </w:rPr>
        <w:t>做好</w:t>
      </w:r>
      <w:r>
        <w:rPr>
          <w:rFonts w:hint="eastAsia" w:ascii="宋体" w:hAnsi="宋体" w:eastAsia="宋体" w:cs="宋体"/>
          <w:color w:val="auto"/>
          <w:kern w:val="0"/>
          <w:sz w:val="21"/>
          <w:szCs w:val="21"/>
          <w:highlight w:val="none"/>
        </w:rPr>
        <w:t>车辆的管理工作。负责指挥进入医院的各种车辆到指定地点停放，不准乱停乱放 ，确保120车辆的正常通行。</w:t>
      </w:r>
    </w:p>
    <w:p w14:paraId="284E9459">
      <w:pPr>
        <w:spacing w:before="50" w:line="400" w:lineRule="exact"/>
        <w:ind w:firstLine="420" w:firstLineChars="200"/>
        <w:rPr>
          <w:rFonts w:hint="eastAsia" w:ascii="宋体" w:hAnsi="宋体" w:eastAsia="宋体" w:cs="宋体"/>
          <w:b/>
          <w:bCs/>
          <w:color w:val="auto"/>
          <w:sz w:val="21"/>
          <w:szCs w:val="21"/>
          <w:highlight w:val="none"/>
          <w:u w:val="double"/>
        </w:rPr>
      </w:pPr>
      <w:r>
        <w:rPr>
          <w:rFonts w:hint="eastAsia" w:ascii="宋体" w:hAnsi="宋体" w:eastAsia="宋体" w:cs="宋体"/>
          <w:color w:val="auto"/>
          <w:kern w:val="0"/>
          <w:sz w:val="21"/>
          <w:szCs w:val="21"/>
          <w:highlight w:val="none"/>
        </w:rPr>
        <w:t>8）做好监控室值班工作，熟悉各种安控设备的性能和使用方法，严格遵守操作规程进行布防、撤防，做好工作记录，严格遵守保密制度。</w:t>
      </w:r>
    </w:p>
    <w:p w14:paraId="1D089B7A">
      <w:pPr>
        <w:spacing w:before="50" w:line="40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报价要求：</w:t>
      </w:r>
    </w:p>
    <w:p w14:paraId="7436BA86">
      <w:pPr>
        <w:widowControl w:val="0"/>
        <w:spacing w:line="400" w:lineRule="exact"/>
        <w:ind w:firstLine="480"/>
        <w:jc w:val="both"/>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1、各投标人统一以服务期限</w:t>
      </w:r>
      <w:r>
        <w:rPr>
          <w:rFonts w:hint="eastAsia" w:ascii="宋体" w:hAnsi="宋体" w:cs="宋体"/>
          <w:color w:val="auto"/>
          <w:sz w:val="21"/>
          <w:szCs w:val="21"/>
          <w:highlight w:val="none"/>
          <w:lang w:val="en-US" w:eastAsia="zh-CN" w:bidi="ar-SA"/>
        </w:rPr>
        <w:t>两</w:t>
      </w:r>
      <w:r>
        <w:rPr>
          <w:rFonts w:hint="eastAsia" w:ascii="宋体" w:hAnsi="宋体" w:eastAsia="宋体" w:cs="宋体"/>
          <w:color w:val="auto"/>
          <w:sz w:val="21"/>
          <w:szCs w:val="21"/>
          <w:highlight w:val="none"/>
          <w:lang w:val="en-US" w:eastAsia="zh-CN" w:bidi="ar-SA"/>
        </w:rPr>
        <w:t>年及人数（不少于</w:t>
      </w:r>
      <w:r>
        <w:rPr>
          <w:rFonts w:hint="eastAsia" w:ascii="宋体" w:hAnsi="宋体" w:cs="宋体"/>
          <w:color w:val="auto"/>
          <w:sz w:val="21"/>
          <w:szCs w:val="21"/>
          <w:highlight w:val="none"/>
          <w:lang w:val="en-US" w:eastAsia="zh-CN" w:bidi="ar-SA"/>
        </w:rPr>
        <w:t>40</w:t>
      </w:r>
      <w:r>
        <w:rPr>
          <w:rFonts w:hint="eastAsia" w:ascii="宋体" w:hAnsi="宋体" w:eastAsia="宋体" w:cs="宋体"/>
          <w:color w:val="auto"/>
          <w:sz w:val="21"/>
          <w:szCs w:val="21"/>
          <w:highlight w:val="none"/>
          <w:lang w:val="en-US" w:eastAsia="zh-CN" w:bidi="ar-SA"/>
        </w:rPr>
        <w:t>人）进行报价，</w:t>
      </w:r>
      <w:r>
        <w:rPr>
          <w:rFonts w:hint="eastAsia" w:ascii="宋体" w:hAnsi="宋体" w:eastAsia="宋体" w:cs="宋体"/>
          <w:color w:val="auto"/>
          <w:sz w:val="21"/>
          <w:szCs w:val="21"/>
          <w:highlight w:val="none"/>
          <w:lang w:val="zh-CN" w:eastAsia="zh-CN" w:bidi="ar-SA"/>
        </w:rPr>
        <w:t>包括但不限于人工（包括工资、高温费、奖金、社保、法定节假日等各类加班费、各类保险费等费用）、专用设备、工具、易耗材、办公设备、巡检器材、服装、胸卡、通讯、保险、各种税费、政策性文件规定及合同包含的所有风险、责任等的费用。</w:t>
      </w:r>
    </w:p>
    <w:p w14:paraId="22E44D4D">
      <w:pPr>
        <w:widowControl w:val="0"/>
        <w:spacing w:line="400" w:lineRule="exact"/>
        <w:ind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2、投标人要充分考虑所有工作人员的值休、轮休、法定假日休息以及岗位顶班、日常机动人员的配备，以上所有费用均计入投标总价。</w:t>
      </w:r>
    </w:p>
    <w:p w14:paraId="60F917CC">
      <w:pPr>
        <w:widowControl w:val="0"/>
        <w:spacing w:line="400" w:lineRule="exact"/>
        <w:ind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各投标人须在报价分析表中列明各岗位人员的综合单价（此综合单价包含人工（包括工资、奖金、社保、加班费等费用）、专用设备、工具、易耗品、办公设备、巡检器材、服装、胸卡、通讯、保险、各种税费、利润责任等的费用），即各投标人须把完成此项目所产生的费用摊分到各岗位人员的综合单价。报价分析表中的劳动保护费单指人工（包括工资、奖金、社保、加班费等费用）。</w:t>
      </w:r>
    </w:p>
    <w:p w14:paraId="5E413788">
      <w:pPr>
        <w:widowControl w:val="0"/>
        <w:spacing w:line="400" w:lineRule="exact"/>
        <w:ind w:firstLine="480"/>
        <w:jc w:val="both"/>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4</w:t>
      </w:r>
      <w:r>
        <w:rPr>
          <w:rFonts w:hint="eastAsia" w:ascii="宋体" w:hAnsi="宋体" w:eastAsia="宋体" w:cs="宋体"/>
          <w:color w:val="auto"/>
          <w:sz w:val="21"/>
          <w:szCs w:val="21"/>
          <w:highlight w:val="none"/>
          <w:lang w:val="zh-CN" w:eastAsia="zh-CN" w:bidi="ar-SA"/>
        </w:rPr>
        <w:t>、投标报价中人员的工资、社保等标准，不得低于苏州市吴江区政府文件规定的最低标准，否则视为无效投标。</w:t>
      </w:r>
    </w:p>
    <w:p w14:paraId="167DE7BE">
      <w:pPr>
        <w:widowControl w:val="0"/>
        <w:spacing w:line="400" w:lineRule="exact"/>
        <w:ind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5、采购人不接受投标人任何因遗漏报价而发生的费用追加，因投标人违反《中华人民共和国民法典》等法律法规而造成采购人的连带责任和损失全部由中标方承担。</w:t>
      </w:r>
    </w:p>
    <w:p w14:paraId="75778DB6">
      <w:pPr>
        <w:spacing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6、各投标人须对所有服务进行报价，否则视为无效投标。</w:t>
      </w:r>
    </w:p>
    <w:p w14:paraId="0216B6C6">
      <w:pPr>
        <w:spacing w:line="400" w:lineRule="exact"/>
        <w:ind w:right="-159"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以人民币报价；按附表格式进行报价；</w:t>
      </w:r>
    </w:p>
    <w:p w14:paraId="2A35B118">
      <w:pPr>
        <w:spacing w:line="400" w:lineRule="exact"/>
        <w:ind w:right="-159"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本次磋商的最终报价为本项目的总报价。</w:t>
      </w:r>
    </w:p>
    <w:p w14:paraId="0D3C47D3">
      <w:pPr>
        <w:spacing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其他要求：</w:t>
      </w:r>
    </w:p>
    <w:p w14:paraId="4CFCC14D">
      <w:pPr>
        <w:spacing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1、成交人对服务缺陷不予更正，采购人有权另请其他单位更正，所发生的费用在履约保证金中扣除。</w:t>
      </w:r>
    </w:p>
    <w:p w14:paraId="6AE402D6">
      <w:pPr>
        <w:spacing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2、如遇采购单位有重大基建等特殊情况（工作量减少或增加幅度较大时），采购单位将提前三个月告知乙方，合同内容经双方协商调整。</w:t>
      </w:r>
    </w:p>
    <w:p w14:paraId="3FE6D26B">
      <w:pPr>
        <w:spacing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3、需江苏盛泽医院配合的工作：投标人应在响应文件中说明，如能成交，在服务过程中需要江苏盛泽医院配合的工作和需要提供的条件。</w:t>
      </w:r>
    </w:p>
    <w:p w14:paraId="58B5C867">
      <w:pPr>
        <w:pStyle w:val="13"/>
        <w:numPr>
          <w:ilvl w:val="0"/>
          <w:numId w:val="8"/>
        </w:numPr>
        <w:spacing w:line="440" w:lineRule="exact"/>
        <w:ind w:firstLine="422" w:firstLineChars="200"/>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综合说明：</w:t>
      </w:r>
    </w:p>
    <w:p w14:paraId="15E93BA4">
      <w:pPr>
        <w:spacing w:before="50"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1、成交人负责员工的工资和社会养老、医疗、工伤、失业等费用，若发生劳动争议均由成交人自行负责，采购人无任何连带关系和责任。</w:t>
      </w:r>
    </w:p>
    <w:p w14:paraId="1CA9F2F7">
      <w:pPr>
        <w:spacing w:before="50"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2、成交人不得将委托管理项目转包给第三方管理，不允许分包或转包管理责任和管理事宜。</w:t>
      </w:r>
    </w:p>
    <w:p w14:paraId="5BDAA83D">
      <w:pPr>
        <w:spacing w:before="50"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3、采购人提供办公用房、日常水电费用，采购人协助成交人对员工进行工作所需疾病预防知识的培训和技术指导。</w:t>
      </w:r>
    </w:p>
    <w:p w14:paraId="3F9AF0B2">
      <w:pPr>
        <w:spacing w:before="50"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4、成交人对采购人或第三方提出的服务缺陷不予更正的，采购人有权另请其他单位更正，所发生的费用在履约保证金中扣除。</w:t>
      </w:r>
    </w:p>
    <w:p w14:paraId="60755CB6">
      <w:pPr>
        <w:spacing w:before="50"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5、如遇采购人有重大基建等特殊情况（工作量减少或增加幅度较大时），采购人将提前三个月告知成交人，合同内容经双方协商调整。</w:t>
      </w:r>
    </w:p>
    <w:p w14:paraId="0F91B078">
      <w:pPr>
        <w:widowControl w:val="0"/>
        <w:spacing w:line="40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6、服务人员上岗前须至采购人处进行面试审核，经采购人确认后方可上岗。</w:t>
      </w:r>
    </w:p>
    <w:p w14:paraId="2C271F64">
      <w:pPr>
        <w:widowControl w:val="0"/>
        <w:spacing w:line="40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7、服务人员按照采购人的请假流程执行，需经采购人审批确认。对病事假达30日以上（不含国家法定假期）的服务人员，采购人可要求更换服务人员。</w:t>
      </w:r>
    </w:p>
    <w:p w14:paraId="11546C5F">
      <w:pPr>
        <w:widowControl w:val="0"/>
        <w:spacing w:line="40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8、成交人须为本项目配备的所有服务人员按规定缴纳社会保险及人身意外险，若服务人员在服务期间内出现的工伤及其他意外事故，均由成交人自行负责，采购人不承担任何责任。</w:t>
      </w:r>
    </w:p>
    <w:p w14:paraId="0935F6A8">
      <w:pPr>
        <w:tabs>
          <w:tab w:val="left" w:pos="0"/>
        </w:tabs>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kern w:val="0"/>
          <w:sz w:val="21"/>
          <w:szCs w:val="21"/>
          <w:highlight w:val="none"/>
        </w:rPr>
        <w:t>投标人所提供服务应能够至少达到或优于以上要求，并明确具体服务条款和达到的标准。投标人必须承诺招标文件中提出的全部服务要求和必须达到的标准，如果以其中某些条款不响应时，应在文件中逐条列出，未列出的视同响应。</w:t>
      </w:r>
    </w:p>
    <w:p w14:paraId="1FE0CD4E">
      <w:pPr>
        <w:tabs>
          <w:tab w:val="left" w:pos="0"/>
        </w:tabs>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10、成交人在进驻采购人时要提供所有服务人员基本信息（身份证复印件，体检报告原件等）</w:t>
      </w:r>
    </w:p>
    <w:p w14:paraId="794098DB">
      <w:pPr>
        <w:tabs>
          <w:tab w:val="left" w:pos="0"/>
        </w:tabs>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kern w:val="0"/>
          <w:sz w:val="21"/>
          <w:szCs w:val="21"/>
          <w:highlight w:val="none"/>
        </w:rPr>
        <w:t>成交人须为员工配置统一的工作服、胸卡等。</w:t>
      </w:r>
    </w:p>
    <w:p w14:paraId="46C4F6A0">
      <w:pPr>
        <w:tabs>
          <w:tab w:val="left" w:pos="0"/>
        </w:tabs>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kern w:val="0"/>
          <w:sz w:val="21"/>
          <w:szCs w:val="21"/>
          <w:highlight w:val="none"/>
        </w:rPr>
        <w:t>成交人工作人员在岗履行职责期间（包括上下班途中），发生自身的人身伤害、伤亡，均由成交人负责处理并依法承担法律责任和道义上的责任，采购人不承担任何责任。</w:t>
      </w:r>
      <w:r>
        <w:rPr>
          <w:rFonts w:hint="eastAsia" w:ascii="宋体" w:hAnsi="宋体" w:eastAsia="宋体" w:cs="宋体"/>
          <w:bCs/>
          <w:color w:val="auto"/>
          <w:kern w:val="0"/>
          <w:sz w:val="21"/>
          <w:szCs w:val="21"/>
          <w:highlight w:val="none"/>
        </w:rPr>
        <w:t>任何法定机关通过仲裁裁决、法院判决等形式判令采购人向该受害劳动者或其他受害人承担赔偿责任后，则采购人依法代偿后，有权向成交人全额追偿，中标不得以任何理由予以推脱</w:t>
      </w:r>
    </w:p>
    <w:p w14:paraId="35107734">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kern w:val="0"/>
          <w:sz w:val="21"/>
          <w:szCs w:val="21"/>
          <w:highlight w:val="none"/>
        </w:rPr>
        <w:t>采购人提供成交人物业主管办公室及成交人员工休息室各一处。</w:t>
      </w:r>
    </w:p>
    <w:p w14:paraId="78DBC129">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kern w:val="0"/>
          <w:sz w:val="21"/>
          <w:szCs w:val="21"/>
          <w:highlight w:val="none"/>
        </w:rPr>
        <w:t>采购人要求所有现在工作人员必须具备一年内有效的体检证明（个人健康证）。</w:t>
      </w:r>
    </w:p>
    <w:p w14:paraId="3DA1C491">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kern w:val="0"/>
          <w:sz w:val="21"/>
          <w:szCs w:val="21"/>
          <w:highlight w:val="none"/>
        </w:rPr>
        <w:t>成交人所需的全部工作装备和耗材按招标文件要求提供。</w:t>
      </w:r>
    </w:p>
    <w:p w14:paraId="30222D0E">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kern w:val="0"/>
          <w:sz w:val="21"/>
          <w:szCs w:val="21"/>
          <w:highlight w:val="none"/>
        </w:rPr>
        <w:t>成交人须按照本招标文件的要求对该招标项目进行服务工作。</w:t>
      </w:r>
    </w:p>
    <w:p w14:paraId="3EFCCB4C">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kern w:val="0"/>
          <w:sz w:val="21"/>
          <w:szCs w:val="21"/>
          <w:highlight w:val="none"/>
        </w:rPr>
        <w:t>因成交人管理不善，造成工作范围内的设施、设备等损坏的，由直接负责人赔偿，若直接负责人因故无法赔偿的，采购单位有权要求成交人负责赔偿损失，情节严重的可终止合同甚至诉诸法律。</w:t>
      </w:r>
    </w:p>
    <w:p w14:paraId="646197DD">
      <w:pPr>
        <w:widowControl w:val="0"/>
        <w:spacing w:line="40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18、若成交人在提供医院安保及车辆管理服务管理期间，出现下列情形将被解除医院安保及车辆管理服务合同：</w:t>
      </w:r>
    </w:p>
    <w:p w14:paraId="15779E68">
      <w:pPr>
        <w:widowControl w:val="0"/>
        <w:spacing w:line="40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（1）将承包的服务内容转包他人；</w:t>
      </w:r>
    </w:p>
    <w:p w14:paraId="702410F4">
      <w:pPr>
        <w:widowControl w:val="0"/>
        <w:spacing w:line="40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（2）成交人在履行合同期间，在一个年度内若发生10次以上投诉，所提供的服务未能达到招标文件规定的标准及其响应承诺，经查实并产生不良影响的；</w:t>
      </w:r>
    </w:p>
    <w:p w14:paraId="3450C2F0">
      <w:pPr>
        <w:widowControl w:val="0"/>
        <w:spacing w:line="40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（3）未按照国家劳动法规定聘用服务人员；</w:t>
      </w:r>
    </w:p>
    <w:p w14:paraId="0C364DF7">
      <w:pPr>
        <w:widowControl w:val="0"/>
        <w:spacing w:line="40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（4）服务人员的人员工资和社保缴纳基数低于本市最新公布的最低标准；</w:t>
      </w:r>
    </w:p>
    <w:p w14:paraId="50F95F7B">
      <w:pPr>
        <w:widowControl w:val="0"/>
        <w:spacing w:line="40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19、因成交人管理不善，造成秩序维护工作范围内的设施、设备等损坏的，由直接责任人赔偿，若直接责任人因故无法赔偿的，采购人有权要求成交人负责赔偿损失，情节严重的可终止合同甚至诉诸法律。如遇采购人办公场所调整、迁移或重大政策变化等，采购人将提前一个月告知成交人，合同内容经双方协商调整直至终止。</w:t>
      </w:r>
    </w:p>
    <w:p w14:paraId="140CB6D1">
      <w:pPr>
        <w:widowControl w:val="0"/>
        <w:spacing w:line="40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20、采购人有权检查监督成交人人员外包服务质量，对不称职的工作人员有权要求成交人在规定时间内更换，直至人选合格为止。</w:t>
      </w:r>
    </w:p>
    <w:p w14:paraId="23552F29">
      <w:pPr>
        <w:widowControl w:val="0"/>
        <w:spacing w:line="40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21、工作过程中因成交人员工责任所造成的经济损失由成交人按实际金额赔偿；成交人员工出现违法、违纪、违规行为，所造成的一切后果及损失，由成交人承担，后果严重的采购方有权解除合同。</w:t>
      </w:r>
    </w:p>
    <w:p w14:paraId="04FCDFAE">
      <w:pPr>
        <w:widowControl w:val="0"/>
        <w:spacing w:line="40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22、成交人对服务缺陷不予更正，采购人有权另请其他单位更正，所发生的费用在履约保证金中扣除。</w:t>
      </w:r>
    </w:p>
    <w:p w14:paraId="6B7527FF">
      <w:pPr>
        <w:widowControl w:val="0"/>
        <w:spacing w:line="40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23、成交人在合同期内如因考核不合格或其他原因提前退场的，则须无条件配合采购单位做好交接工作。</w:t>
      </w:r>
    </w:p>
    <w:p w14:paraId="5DF3B4E8">
      <w:pPr>
        <w:spacing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24、管理方案的内容要求</w:t>
      </w:r>
    </w:p>
    <w:p w14:paraId="32340E81">
      <w:pPr>
        <w:spacing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（1）拟采取的管理及服务方案：包括：组织架构、机构设置、信息反馈渠道等；</w:t>
      </w:r>
    </w:p>
    <w:p w14:paraId="79D6CEB0">
      <w:pPr>
        <w:spacing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（2）针对本项目的具体方案设计。包括：安保</w:t>
      </w:r>
      <w:r>
        <w:rPr>
          <w:rFonts w:hint="eastAsia" w:ascii="宋体" w:hAnsi="宋体" w:cs="宋体"/>
          <w:color w:val="auto"/>
          <w:kern w:val="0"/>
          <w:sz w:val="21"/>
          <w:szCs w:val="21"/>
          <w:highlight w:val="none"/>
          <w:lang w:eastAsia="zh-CN"/>
        </w:rPr>
        <w:t>、</w:t>
      </w:r>
      <w:r>
        <w:rPr>
          <w:rFonts w:hint="eastAsia" w:ascii="宋体" w:hAnsi="宋体" w:eastAsia="宋体" w:cs="宋体"/>
          <w:color w:val="auto"/>
          <w:sz w:val="21"/>
          <w:szCs w:val="21"/>
          <w:highlight w:val="none"/>
          <w:lang w:val="en-US" w:eastAsia="zh-CN" w:bidi="ar-SA"/>
        </w:rPr>
        <w:t>车辆管理</w:t>
      </w:r>
      <w:r>
        <w:rPr>
          <w:rFonts w:hint="eastAsia" w:ascii="宋体" w:hAnsi="宋体" w:eastAsia="宋体" w:cs="宋体"/>
          <w:color w:val="auto"/>
          <w:kern w:val="0"/>
          <w:sz w:val="21"/>
          <w:szCs w:val="21"/>
          <w:highlight w:val="none"/>
        </w:rPr>
        <w:t>等；</w:t>
      </w:r>
    </w:p>
    <w:p w14:paraId="36DF6919">
      <w:pPr>
        <w:spacing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（3）提供管理人员配备和各岗位员工的配备，须明确列出详细的各工种各区域工作人员数量、具体排班方案。各工种各岗位的工作职责；</w:t>
      </w:r>
    </w:p>
    <w:p w14:paraId="3BA10612">
      <w:pPr>
        <w:spacing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（4）管理质量和考核计划；</w:t>
      </w:r>
    </w:p>
    <w:p w14:paraId="59851DF2">
      <w:pPr>
        <w:spacing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（5）管理档案的建立与保存；</w:t>
      </w:r>
    </w:p>
    <w:p w14:paraId="6D7A315D">
      <w:pPr>
        <w:spacing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（6）合同期内可提供给医院后勤综合管理服务的文件资料清单；</w:t>
      </w:r>
    </w:p>
    <w:p w14:paraId="772AB819">
      <w:pPr>
        <w:spacing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（7）合同终止时，应和医院的交接方案和交接内容；</w:t>
      </w:r>
    </w:p>
    <w:p w14:paraId="3107F3DF">
      <w:pPr>
        <w:spacing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25、投标人须根据本项目实际情况编制对本项目服务方案、进退场等交接方案等。 </w:t>
      </w:r>
    </w:p>
    <w:p w14:paraId="5A9E6A54">
      <w:pPr>
        <w:spacing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26、按需求全年365天提供服务，包括处理各项突发事件及紧急任务。</w:t>
      </w:r>
    </w:p>
    <w:p w14:paraId="5D7BF8A3">
      <w:pPr>
        <w:spacing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27、成交人每月将人员的考勤考核资料交一份给医院。每年应将全体服务人员档案及所有管理及培训资料交一份给医院， </w:t>
      </w:r>
    </w:p>
    <w:p w14:paraId="5E0D1F63">
      <w:pPr>
        <w:spacing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28、成交人有责任配合医院接受上级领导部门的监督、检查，每1个月双方对服务的各项条款进行综合满意度的调查（调查的内容、人员的组成另行协商）。</w:t>
      </w:r>
    </w:p>
    <w:p w14:paraId="554F72ED">
      <w:pPr>
        <w:spacing w:line="440" w:lineRule="exact"/>
        <w:ind w:firstLine="420"/>
        <w:rPr>
          <w:rFonts w:hint="eastAsia" w:ascii="宋体" w:hAnsi="宋体" w:eastAsia="宋体" w:cs="宋体"/>
          <w:b/>
          <w:color w:val="auto"/>
          <w:kern w:val="0"/>
          <w:sz w:val="21"/>
          <w:szCs w:val="21"/>
          <w:highlight w:val="none"/>
        </w:rPr>
      </w:pPr>
      <w:r>
        <w:rPr>
          <w:rFonts w:hint="eastAsia" w:ascii="宋体" w:hAnsi="宋体" w:eastAsia="宋体" w:cs="宋体"/>
          <w:color w:val="auto"/>
          <w:kern w:val="0"/>
          <w:sz w:val="21"/>
          <w:szCs w:val="21"/>
          <w:highlight w:val="none"/>
        </w:rPr>
        <w:t>29、</w:t>
      </w:r>
      <w:r>
        <w:rPr>
          <w:rFonts w:hint="eastAsia" w:ascii="宋体" w:hAnsi="宋体" w:eastAsia="宋体" w:cs="宋体"/>
          <w:b/>
          <w:color w:val="auto"/>
          <w:kern w:val="0"/>
          <w:sz w:val="21"/>
          <w:szCs w:val="21"/>
          <w:highlight w:val="none"/>
        </w:rPr>
        <w:t>费用支付：</w:t>
      </w:r>
    </w:p>
    <w:p w14:paraId="724CAF2E">
      <w:pPr>
        <w:spacing w:before="50"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29.1.采购人根据实际使用要求及考核情况在每个月的20日左右双方结算上月的费用(按实结算)。乙方出具相应的发票，甲方支付相应费用。</w:t>
      </w:r>
    </w:p>
    <w:p w14:paraId="097E07EB">
      <w:pPr>
        <w:spacing w:before="50"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注：成交人需提供每月工资实发单给予采购人备案。</w:t>
      </w:r>
    </w:p>
    <w:p w14:paraId="5F823252">
      <w:pPr>
        <w:spacing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29.2.采购方除以上服务费用之外不再承担其它任何费用，安保人员的薪金、福利、休假日补贴、医疗费用等均由成交人负责，与采购方无关。</w:t>
      </w:r>
    </w:p>
    <w:p w14:paraId="092D0545">
      <w:pPr>
        <w:spacing w:line="400" w:lineRule="exact"/>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29.3人员工资标准如遇国家工资标准调整，成交人则需按照相应比例调整。</w:t>
      </w:r>
    </w:p>
    <w:p w14:paraId="27178D6A">
      <w:pPr>
        <w:widowControl w:val="0"/>
        <w:spacing w:line="40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29.4、费用结算按实际进场人员数量、工作时间结算费用，人员费用不分岗位，为合同年服务费用除以合同总人数的平均值；</w:t>
      </w:r>
    </w:p>
    <w:p w14:paraId="4CBEC4A4">
      <w:pPr>
        <w:spacing w:line="400" w:lineRule="exact"/>
        <w:ind w:firstLine="420"/>
        <w:rPr>
          <w:rFonts w:hint="eastAsia" w:ascii="宋体" w:hAnsi="宋体" w:eastAsia="宋体" w:cs="宋体"/>
          <w:b/>
          <w:bCs/>
          <w:color w:val="auto"/>
          <w:sz w:val="21"/>
          <w:szCs w:val="21"/>
          <w:highlight w:val="none"/>
          <w:u w:val="double"/>
          <w:lang w:eastAsia="zh-CN"/>
        </w:rPr>
      </w:pPr>
      <w:r>
        <w:rPr>
          <w:rFonts w:hint="eastAsia" w:ascii="宋体" w:hAnsi="宋体" w:eastAsia="宋体" w:cs="宋体"/>
          <w:color w:val="auto"/>
          <w:kern w:val="0"/>
          <w:sz w:val="21"/>
          <w:szCs w:val="21"/>
          <w:highlight w:val="none"/>
        </w:rPr>
        <w:t>29.5、如投标人提供服务不足一个月按日计算服务费。每月按30日计</w:t>
      </w:r>
      <w:r>
        <w:rPr>
          <w:rFonts w:hint="eastAsia" w:ascii="宋体" w:hAnsi="宋体" w:cs="宋体"/>
          <w:b w:val="0"/>
          <w:bCs w:val="0"/>
          <w:color w:val="auto"/>
          <w:kern w:val="0"/>
          <w:sz w:val="21"/>
          <w:szCs w:val="21"/>
          <w:highlight w:val="none"/>
          <w:lang w:eastAsia="zh-CN"/>
        </w:rPr>
        <w:t>。</w:t>
      </w:r>
    </w:p>
    <w:p w14:paraId="32DF6802">
      <w:pPr>
        <w:pStyle w:val="13"/>
        <w:numPr>
          <w:ilvl w:val="0"/>
          <w:numId w:val="8"/>
        </w:numPr>
        <w:spacing w:line="440" w:lineRule="exact"/>
        <w:ind w:left="0" w:leftChars="0" w:firstLine="422" w:firstLineChars="200"/>
        <w:outlineLvl w:val="1"/>
        <w:rPr>
          <w:rFonts w:hint="eastAsia" w:ascii="宋体" w:hAnsi="宋体"/>
          <w:b/>
          <w:bCs/>
          <w:color w:val="auto"/>
          <w:highlight w:val="none"/>
        </w:rPr>
      </w:pPr>
      <w:r>
        <w:rPr>
          <w:rFonts w:hint="eastAsia" w:ascii="宋体" w:hAnsi="宋体" w:eastAsia="宋体" w:cs="宋体"/>
          <w:b/>
          <w:bCs/>
          <w:color w:val="auto"/>
          <w:sz w:val="21"/>
          <w:szCs w:val="21"/>
          <w:highlight w:val="none"/>
        </w:rPr>
        <w:t>凡涉及磋商采购文件的补充说明和修改，均以苏州政府采购网上发布的通知为准</w:t>
      </w:r>
      <w:r>
        <w:rPr>
          <w:rFonts w:hint="eastAsia" w:ascii="宋体" w:hAnsi="宋体"/>
          <w:b/>
          <w:bCs/>
          <w:color w:val="auto"/>
          <w:highlight w:val="none"/>
        </w:rPr>
        <w:t>。</w:t>
      </w:r>
    </w:p>
    <w:p w14:paraId="29D1E475">
      <w:pPr>
        <w:pStyle w:val="13"/>
        <w:widowControl w:val="0"/>
        <w:numPr>
          <w:ilvl w:val="0"/>
          <w:numId w:val="0"/>
        </w:numPr>
        <w:spacing w:line="440" w:lineRule="exact"/>
        <w:jc w:val="both"/>
        <w:outlineLvl w:val="1"/>
        <w:rPr>
          <w:rFonts w:hint="eastAsia" w:hAnsi="宋体"/>
          <w:b/>
          <w:color w:val="auto"/>
          <w:highlight w:val="none"/>
        </w:rPr>
      </w:pPr>
    </w:p>
    <w:bookmarkEnd w:id="41"/>
    <w:p w14:paraId="3EEA42B3">
      <w:pPr>
        <w:tabs>
          <w:tab w:val="left" w:pos="520"/>
          <w:tab w:val="left" w:pos="780"/>
          <w:tab w:val="left" w:pos="1040"/>
        </w:tabs>
        <w:spacing w:line="440" w:lineRule="exact"/>
        <w:jc w:val="center"/>
        <w:outlineLvl w:val="1"/>
        <w:rPr>
          <w:rFonts w:ascii="Times New Roman" w:hAnsi="Times New Roman"/>
          <w:color w:val="auto"/>
          <w:sz w:val="44"/>
          <w:szCs w:val="44"/>
          <w:highlight w:val="none"/>
          <w:lang w:val="zh-CN"/>
        </w:rPr>
      </w:pPr>
      <w:r>
        <w:rPr>
          <w:rFonts w:ascii="Times New Roman" w:hAnsi="Times New Roman"/>
          <w:b/>
          <w:bCs/>
          <w:color w:val="auto"/>
          <w:sz w:val="44"/>
          <w:szCs w:val="44"/>
          <w:highlight w:val="none"/>
          <w:lang w:val="zh-CN"/>
        </w:rPr>
        <w:t>第</w:t>
      </w:r>
      <w:r>
        <w:rPr>
          <w:rFonts w:ascii="Times New Roman" w:hAnsi="Times New Roman"/>
          <w:b/>
          <w:bCs/>
          <w:color w:val="auto"/>
          <w:sz w:val="44"/>
          <w:szCs w:val="44"/>
          <w:highlight w:val="none"/>
        </w:rPr>
        <w:t>五</w:t>
      </w:r>
      <w:r>
        <w:rPr>
          <w:rFonts w:ascii="Times New Roman" w:hAnsi="Times New Roman"/>
          <w:b/>
          <w:bCs/>
          <w:color w:val="auto"/>
          <w:sz w:val="44"/>
          <w:szCs w:val="44"/>
          <w:highlight w:val="none"/>
          <w:lang w:val="zh-CN"/>
        </w:rPr>
        <w:t>章 合同的主要条款</w:t>
      </w:r>
      <w:bookmarkEnd w:id="42"/>
      <w:bookmarkEnd w:id="43"/>
      <w:bookmarkEnd w:id="44"/>
      <w:bookmarkEnd w:id="45"/>
    </w:p>
    <w:tbl>
      <w:tblPr>
        <w:tblStyle w:val="27"/>
        <w:tblW w:w="8942" w:type="dxa"/>
        <w:jc w:val="center"/>
        <w:tblLayout w:type="fixed"/>
        <w:tblCellMar>
          <w:top w:w="0" w:type="dxa"/>
          <w:left w:w="108" w:type="dxa"/>
          <w:bottom w:w="0" w:type="dxa"/>
          <w:right w:w="108" w:type="dxa"/>
        </w:tblCellMar>
      </w:tblPr>
      <w:tblGrid>
        <w:gridCol w:w="4746"/>
        <w:gridCol w:w="4196"/>
      </w:tblGrid>
      <w:tr w14:paraId="31AF77F0">
        <w:tblPrEx>
          <w:tblCellMar>
            <w:top w:w="0" w:type="dxa"/>
            <w:left w:w="108" w:type="dxa"/>
            <w:bottom w:w="0" w:type="dxa"/>
            <w:right w:w="108" w:type="dxa"/>
          </w:tblCellMar>
        </w:tblPrEx>
        <w:trPr>
          <w:jc w:val="center"/>
        </w:trPr>
        <w:tc>
          <w:tcPr>
            <w:tcW w:w="4746" w:type="dxa"/>
            <w:vAlign w:val="center"/>
          </w:tcPr>
          <w:p w14:paraId="1BF5BA6D">
            <w:pPr>
              <w:keepNext w:val="0"/>
              <w:keepLines w:val="0"/>
              <w:suppressLineNumbers w:val="0"/>
              <w:spacing w:before="0" w:beforeAutospacing="0" w:after="0" w:afterAutospacing="0" w:line="460" w:lineRule="exact"/>
              <w:ind w:left="0" w:right="0"/>
              <w:rPr>
                <w:bCs/>
                <w:color w:val="auto"/>
                <w:szCs w:val="21"/>
                <w:highlight w:val="none"/>
              </w:rPr>
            </w:pPr>
            <w:bookmarkStart w:id="51" w:name="_Toc25724"/>
            <w:bookmarkStart w:id="52" w:name="_Toc8157"/>
            <w:bookmarkStart w:id="53" w:name="_Toc3201"/>
            <w:bookmarkStart w:id="54" w:name="_Toc61514586"/>
            <w:r>
              <w:rPr>
                <w:rFonts w:hint="eastAsia"/>
                <w:bCs/>
                <w:color w:val="auto"/>
                <w:szCs w:val="21"/>
                <w:highlight w:val="none"/>
              </w:rPr>
              <w:t>甲方（采购人）：</w:t>
            </w:r>
          </w:p>
        </w:tc>
        <w:tc>
          <w:tcPr>
            <w:tcW w:w="4196" w:type="dxa"/>
            <w:vAlign w:val="center"/>
          </w:tcPr>
          <w:p w14:paraId="5C7F75C3">
            <w:pPr>
              <w:keepNext w:val="0"/>
              <w:keepLines w:val="0"/>
              <w:suppressLineNumbers w:val="0"/>
              <w:spacing w:before="0" w:beforeAutospacing="0" w:after="0" w:afterAutospacing="0" w:line="460" w:lineRule="exact"/>
              <w:ind w:left="0" w:right="0"/>
              <w:rPr>
                <w:bCs/>
                <w:color w:val="auto"/>
                <w:szCs w:val="21"/>
                <w:highlight w:val="none"/>
              </w:rPr>
            </w:pPr>
            <w:r>
              <w:rPr>
                <w:rFonts w:hint="eastAsia"/>
                <w:bCs/>
                <w:color w:val="auto"/>
                <w:szCs w:val="21"/>
                <w:highlight w:val="none"/>
              </w:rPr>
              <w:t>单位地址：</w:t>
            </w:r>
          </w:p>
        </w:tc>
      </w:tr>
      <w:tr w14:paraId="549729AF">
        <w:tblPrEx>
          <w:tblCellMar>
            <w:top w:w="0" w:type="dxa"/>
            <w:left w:w="108" w:type="dxa"/>
            <w:bottom w:w="0" w:type="dxa"/>
            <w:right w:w="108" w:type="dxa"/>
          </w:tblCellMar>
        </w:tblPrEx>
        <w:trPr>
          <w:jc w:val="center"/>
        </w:trPr>
        <w:tc>
          <w:tcPr>
            <w:tcW w:w="4746" w:type="dxa"/>
            <w:vAlign w:val="center"/>
          </w:tcPr>
          <w:p w14:paraId="2009E2A5">
            <w:pPr>
              <w:keepNext w:val="0"/>
              <w:keepLines w:val="0"/>
              <w:suppressLineNumbers w:val="0"/>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乙方（供应商）：</w:t>
            </w:r>
          </w:p>
        </w:tc>
        <w:tc>
          <w:tcPr>
            <w:tcW w:w="4196" w:type="dxa"/>
            <w:vAlign w:val="center"/>
          </w:tcPr>
          <w:p w14:paraId="6F0F31E1">
            <w:pPr>
              <w:keepNext w:val="0"/>
              <w:keepLines w:val="0"/>
              <w:suppressLineNumbers w:val="0"/>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单位地址：</w:t>
            </w:r>
          </w:p>
        </w:tc>
      </w:tr>
      <w:tr w14:paraId="36229829">
        <w:tblPrEx>
          <w:tblCellMar>
            <w:top w:w="0" w:type="dxa"/>
            <w:left w:w="108" w:type="dxa"/>
            <w:bottom w:w="0" w:type="dxa"/>
            <w:right w:w="108" w:type="dxa"/>
          </w:tblCellMar>
        </w:tblPrEx>
        <w:trPr>
          <w:jc w:val="center"/>
        </w:trPr>
        <w:tc>
          <w:tcPr>
            <w:tcW w:w="4746" w:type="dxa"/>
            <w:vAlign w:val="center"/>
          </w:tcPr>
          <w:p w14:paraId="661B3BFB">
            <w:pPr>
              <w:keepNext w:val="0"/>
              <w:keepLines w:val="0"/>
              <w:suppressLineNumbers w:val="0"/>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签订日期：</w:t>
            </w:r>
          </w:p>
        </w:tc>
        <w:tc>
          <w:tcPr>
            <w:tcW w:w="4196" w:type="dxa"/>
            <w:vAlign w:val="center"/>
          </w:tcPr>
          <w:p w14:paraId="672841C5">
            <w:pPr>
              <w:keepNext w:val="0"/>
              <w:keepLines w:val="0"/>
              <w:suppressLineNumbers w:val="0"/>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签订地点：</w:t>
            </w:r>
          </w:p>
        </w:tc>
      </w:tr>
    </w:tbl>
    <w:p w14:paraId="3D1C4AE6">
      <w:pPr>
        <w:spacing w:line="460" w:lineRule="exact"/>
        <w:ind w:firstLine="420" w:firstLineChars="200"/>
        <w:jc w:val="left"/>
        <w:rPr>
          <w:rFonts w:hint="eastAsia" w:ascii="宋体" w:hAnsi="宋体" w:cs="仿宋_GB2312"/>
          <w:color w:val="auto"/>
          <w:szCs w:val="21"/>
          <w:highlight w:val="none"/>
        </w:rPr>
      </w:pPr>
      <w:r>
        <w:rPr>
          <w:rFonts w:hint="eastAsia" w:ascii="宋体" w:hAnsi="宋体" w:cs="仿宋_GB2312"/>
          <w:color w:val="auto"/>
          <w:szCs w:val="21"/>
          <w:highlight w:val="none"/>
        </w:rPr>
        <w:t>依据甲方委托</w:t>
      </w:r>
      <w:r>
        <w:rPr>
          <w:rFonts w:hint="eastAsia" w:ascii="宋体" w:hAnsi="宋体" w:cs="宋体"/>
          <w:color w:val="auto"/>
          <w:szCs w:val="21"/>
          <w:highlight w:val="none"/>
          <w:u w:val="single"/>
        </w:rPr>
        <w:t>苏州鼎力招投标咨询服务有限公司</w:t>
      </w:r>
      <w:r>
        <w:rPr>
          <w:rFonts w:hint="eastAsia" w:ascii="宋体" w:hAnsi="宋体" w:cs="仿宋_GB2312"/>
          <w:color w:val="auto"/>
          <w:szCs w:val="21"/>
          <w:highlight w:val="none"/>
        </w:rPr>
        <w:t>进行本项目政府采购</w:t>
      </w:r>
      <w:r>
        <w:rPr>
          <w:rFonts w:hint="eastAsia" w:ascii="宋体" w:hAnsi="宋体" w:cs="仿宋_GB2312"/>
          <w:color w:val="auto"/>
          <w:szCs w:val="21"/>
          <w:highlight w:val="none"/>
          <w:u w:val="single"/>
          <w:lang w:val="en-US" w:eastAsia="zh-CN"/>
        </w:rPr>
        <w:t xml:space="preserve">          </w:t>
      </w:r>
      <w:r>
        <w:rPr>
          <w:rFonts w:hint="eastAsia" w:ascii="宋体" w:hAnsi="宋体" w:cs="仿宋_GB2312"/>
          <w:color w:val="auto"/>
          <w:szCs w:val="21"/>
          <w:highlight w:val="none"/>
        </w:rPr>
        <w:t>的成交结果，确定乙方为本次第标段成交供应商，现依照磋商文件、乙方的响应文件及相关文件的内容，签订本合同书。</w:t>
      </w:r>
    </w:p>
    <w:p w14:paraId="059A52C7">
      <w:pPr>
        <w:rPr>
          <w:rFonts w:hint="eastAsia" w:ascii="宋体" w:hAnsi="宋体" w:cs="仿宋_GB2312"/>
          <w:color w:val="auto"/>
          <w:szCs w:val="21"/>
          <w:highlight w:val="none"/>
        </w:rPr>
      </w:pPr>
    </w:p>
    <w:p w14:paraId="7414F31B">
      <w:pPr>
        <w:spacing w:line="360" w:lineRule="auto"/>
        <w:rPr>
          <w:rFonts w:hint="default" w:ascii="Times New Roman" w:hAnsi="Times New Roman" w:eastAsia="宋体" w:cs="Times New Roman"/>
          <w:b/>
          <w:color w:val="auto"/>
          <w:kern w:val="0"/>
          <w:szCs w:val="21"/>
          <w:highlight w:val="none"/>
          <w:lang w:val="zh-CN"/>
        </w:rPr>
      </w:pPr>
      <w:r>
        <w:rPr>
          <w:rFonts w:hint="default" w:ascii="Times New Roman" w:hAnsi="Times New Roman" w:eastAsia="宋体" w:cs="Times New Roman"/>
          <w:b/>
          <w:color w:val="auto"/>
          <w:kern w:val="0"/>
          <w:szCs w:val="21"/>
          <w:highlight w:val="none"/>
          <w:lang w:val="zh-CN"/>
        </w:rPr>
        <w:t>一、合同内容：</w:t>
      </w:r>
    </w:p>
    <w:p w14:paraId="5DD7F4C9">
      <w:pPr>
        <w:widowControl w:val="0"/>
        <w:spacing w:line="360" w:lineRule="auto"/>
        <w:ind w:firstLine="420"/>
        <w:jc w:val="left"/>
        <w:rPr>
          <w:rFonts w:hint="default" w:ascii="宋体" w:hAnsi="宋体"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zh-CN" w:eastAsia="zh-CN" w:bidi="ar-SA"/>
        </w:rPr>
        <w:t>1、乙方负责</w:t>
      </w:r>
      <w:r>
        <w:rPr>
          <w:rFonts w:hint="eastAsia" w:ascii="Times New Roman" w:hAnsi="Times New Roman" w:eastAsia="宋体" w:cs="Times New Roman"/>
          <w:color w:val="auto"/>
          <w:sz w:val="21"/>
          <w:szCs w:val="21"/>
          <w:highlight w:val="none"/>
          <w:lang w:val="en-US" w:eastAsia="zh-CN" w:bidi="ar-SA"/>
        </w:rPr>
        <w:t>甲方</w:t>
      </w:r>
      <w:r>
        <w:rPr>
          <w:rFonts w:hint="eastAsia" w:ascii="宋体" w:hAnsi="宋体" w:eastAsia="宋体" w:cs="Times New Roman"/>
          <w:color w:val="auto"/>
          <w:sz w:val="21"/>
          <w:szCs w:val="21"/>
          <w:highlight w:val="none"/>
          <w:lang w:val="en-US" w:eastAsia="zh-CN" w:bidi="ar-SA"/>
        </w:rPr>
        <w:t>的保安服务。</w:t>
      </w:r>
    </w:p>
    <w:p w14:paraId="257A3932">
      <w:pPr>
        <w:spacing w:line="360" w:lineRule="auto"/>
        <w:ind w:firstLine="380"/>
        <w:rPr>
          <w:rFonts w:hint="default" w:ascii="Times New Roman" w:hAnsi="Times New Roman" w:eastAsia="宋体" w:cs="Times New Roman"/>
          <w:color w:val="auto"/>
          <w:kern w:val="0"/>
          <w:szCs w:val="21"/>
          <w:highlight w:val="none"/>
          <w:lang w:val="zh-CN"/>
        </w:rPr>
      </w:pPr>
      <w:r>
        <w:rPr>
          <w:rFonts w:hint="eastAsia" w:ascii="Times New Roman" w:hAnsi="Times New Roman" w:eastAsia="宋体" w:cs="Times New Roman"/>
          <w:color w:val="auto"/>
          <w:kern w:val="0"/>
          <w:szCs w:val="21"/>
          <w:highlight w:val="none"/>
        </w:rPr>
        <w:t>服务</w:t>
      </w:r>
      <w:r>
        <w:rPr>
          <w:rFonts w:hint="default" w:ascii="Times New Roman" w:hAnsi="Times New Roman" w:eastAsia="宋体" w:cs="Times New Roman"/>
          <w:color w:val="auto"/>
          <w:kern w:val="0"/>
          <w:szCs w:val="21"/>
          <w:highlight w:val="none"/>
          <w:lang w:val="zh-CN"/>
        </w:rPr>
        <w:t>时间</w:t>
      </w:r>
      <w:r>
        <w:rPr>
          <w:rFonts w:hint="eastAsia" w:cs="Times New Roman"/>
          <w:color w:val="auto"/>
          <w:kern w:val="0"/>
          <w:szCs w:val="21"/>
          <w:highlight w:val="none"/>
          <w:lang w:val="en-US" w:eastAsia="zh-CN"/>
        </w:rPr>
        <w:t>两</w:t>
      </w:r>
      <w:r>
        <w:rPr>
          <w:rFonts w:hint="eastAsia" w:ascii="Times New Roman" w:hAnsi="Times New Roman" w:eastAsia="宋体" w:cs="Times New Roman"/>
          <w:color w:val="auto"/>
          <w:kern w:val="0"/>
          <w:szCs w:val="21"/>
          <w:highlight w:val="none"/>
          <w:lang w:val="en-US" w:eastAsia="zh-CN"/>
        </w:rPr>
        <w:t>年</w:t>
      </w:r>
      <w:r>
        <w:rPr>
          <w:rFonts w:hint="eastAsia" w:cs="Times New Roman"/>
          <w:color w:val="auto"/>
          <w:kern w:val="0"/>
          <w:szCs w:val="21"/>
          <w:highlight w:val="none"/>
          <w:lang w:val="en-US" w:eastAsia="zh-CN"/>
        </w:rPr>
        <w:t>；</w:t>
      </w:r>
      <w:r>
        <w:rPr>
          <w:rFonts w:hint="default" w:ascii="Times New Roman" w:hAnsi="Times New Roman" w:eastAsia="宋体" w:cs="Times New Roman"/>
          <w:color w:val="auto"/>
          <w:kern w:val="0"/>
          <w:szCs w:val="21"/>
          <w:highlight w:val="none"/>
          <w:lang w:val="zh-CN"/>
        </w:rPr>
        <w:t>自</w:t>
      </w:r>
      <w:r>
        <w:rPr>
          <w:rFonts w:hint="default" w:ascii="Times New Roman" w:hAnsi="Times New Roman" w:eastAsia="宋体" w:cs="Times New Roman"/>
          <w:color w:val="auto"/>
          <w:kern w:val="0"/>
          <w:szCs w:val="21"/>
          <w:highlight w:val="none"/>
          <w:u w:val="single"/>
          <w:lang w:val="zh-CN"/>
        </w:rPr>
        <w:t xml:space="preserve">    </w:t>
      </w:r>
      <w:r>
        <w:rPr>
          <w:rFonts w:hint="eastAsia" w:ascii="Times New Roman" w:hAnsi="Times New Roman" w:eastAsia="宋体" w:cs="Times New Roman"/>
          <w:color w:val="auto"/>
          <w:kern w:val="0"/>
          <w:szCs w:val="21"/>
          <w:highlight w:val="none"/>
          <w:u w:val="single"/>
          <w:lang w:val="en-US" w:eastAsia="zh-CN"/>
        </w:rPr>
        <w:t xml:space="preserve"> </w:t>
      </w:r>
      <w:r>
        <w:rPr>
          <w:rFonts w:hint="default" w:ascii="Times New Roman" w:hAnsi="Times New Roman" w:eastAsia="宋体" w:cs="Times New Roman"/>
          <w:color w:val="auto"/>
          <w:kern w:val="0"/>
          <w:szCs w:val="21"/>
          <w:highlight w:val="none"/>
          <w:u w:val="single"/>
          <w:lang w:val="zh-CN"/>
        </w:rPr>
        <w:t xml:space="preserve">年  </w:t>
      </w:r>
      <w:r>
        <w:rPr>
          <w:rFonts w:hint="eastAsia" w:ascii="Times New Roman" w:hAnsi="Times New Roman" w:eastAsia="宋体" w:cs="Times New Roman"/>
          <w:color w:val="auto"/>
          <w:kern w:val="0"/>
          <w:szCs w:val="21"/>
          <w:highlight w:val="none"/>
          <w:u w:val="single"/>
          <w:lang w:val="en-US" w:eastAsia="zh-CN"/>
        </w:rPr>
        <w:t xml:space="preserve"> </w:t>
      </w:r>
      <w:r>
        <w:rPr>
          <w:rFonts w:hint="default" w:ascii="Times New Roman" w:hAnsi="Times New Roman" w:eastAsia="宋体" w:cs="Times New Roman"/>
          <w:color w:val="auto"/>
          <w:kern w:val="0"/>
          <w:szCs w:val="21"/>
          <w:highlight w:val="none"/>
          <w:u w:val="single"/>
          <w:lang w:val="zh-CN"/>
        </w:rPr>
        <w:t>月   日至    年   月   日</w:t>
      </w:r>
      <w:r>
        <w:rPr>
          <w:rFonts w:hint="default" w:ascii="Times New Roman" w:hAnsi="Times New Roman" w:eastAsia="宋体" w:cs="Times New Roman"/>
          <w:color w:val="auto"/>
          <w:kern w:val="0"/>
          <w:szCs w:val="21"/>
          <w:highlight w:val="none"/>
          <w:lang w:val="zh-CN"/>
        </w:rPr>
        <w:t>。在协议有效期内一方不得擅自变更或中止此项协议，如未经双方同意，擅自变更或中止此项的一方要负违约责任。</w:t>
      </w:r>
    </w:p>
    <w:p w14:paraId="047110C5">
      <w:pPr>
        <w:spacing w:line="360" w:lineRule="auto"/>
        <w:ind w:firstLine="380"/>
        <w:rPr>
          <w:rFonts w:hint="default" w:ascii="Times New Roman" w:hAnsi="Times New Roman" w:eastAsia="宋体" w:cs="Times New Roman"/>
          <w:color w:val="auto"/>
          <w:kern w:val="0"/>
          <w:szCs w:val="21"/>
          <w:highlight w:val="none"/>
          <w:lang w:val="zh-CN"/>
        </w:rPr>
      </w:pPr>
      <w:r>
        <w:rPr>
          <w:rFonts w:hint="default" w:ascii="Times New Roman" w:hAnsi="Times New Roman" w:eastAsia="宋体" w:cs="Times New Roman"/>
          <w:color w:val="auto"/>
          <w:kern w:val="0"/>
          <w:szCs w:val="21"/>
          <w:highlight w:val="none"/>
          <w:lang w:val="zh-CN"/>
        </w:rPr>
        <w:t>2、下列文件为本合同不可分割部分：</w:t>
      </w:r>
    </w:p>
    <w:p w14:paraId="3B9CBC1E">
      <w:pPr>
        <w:spacing w:line="360" w:lineRule="auto"/>
        <w:ind w:firstLine="380"/>
        <w:rPr>
          <w:rFonts w:hint="default" w:ascii="Times New Roman" w:hAnsi="Times New Roman" w:eastAsia="宋体" w:cs="Times New Roman"/>
          <w:color w:val="auto"/>
          <w:kern w:val="0"/>
          <w:szCs w:val="21"/>
          <w:highlight w:val="none"/>
          <w:lang w:val="zh-CN"/>
        </w:rPr>
      </w:pPr>
      <w:r>
        <w:rPr>
          <w:rFonts w:hint="default" w:ascii="Times New Roman" w:hAnsi="Times New Roman" w:eastAsia="宋体" w:cs="Times New Roman"/>
          <w:color w:val="auto"/>
          <w:kern w:val="0"/>
          <w:szCs w:val="21"/>
          <w:highlight w:val="none"/>
          <w:lang w:val="zh-CN"/>
        </w:rPr>
        <w:t>（1）</w:t>
      </w:r>
      <w:r>
        <w:rPr>
          <w:rFonts w:hint="eastAsia" w:ascii="Times New Roman" w:hAnsi="Times New Roman" w:eastAsia="宋体" w:cs="Times New Roman"/>
          <w:color w:val="auto"/>
          <w:kern w:val="0"/>
          <w:szCs w:val="21"/>
          <w:highlight w:val="none"/>
        </w:rPr>
        <w:t>成交</w:t>
      </w:r>
      <w:r>
        <w:rPr>
          <w:rFonts w:hint="default" w:ascii="Times New Roman" w:hAnsi="Times New Roman" w:eastAsia="宋体" w:cs="Times New Roman"/>
          <w:color w:val="auto"/>
          <w:kern w:val="0"/>
          <w:szCs w:val="21"/>
          <w:highlight w:val="none"/>
          <w:lang w:val="zh-CN"/>
        </w:rPr>
        <w:t>通知书；</w:t>
      </w:r>
    </w:p>
    <w:p w14:paraId="02DF7C9A">
      <w:pPr>
        <w:spacing w:line="360" w:lineRule="auto"/>
        <w:ind w:firstLine="380"/>
        <w:rPr>
          <w:rFonts w:hint="default" w:ascii="Times New Roman" w:hAnsi="Times New Roman" w:eastAsia="宋体" w:cs="Times New Roman"/>
          <w:color w:val="auto"/>
          <w:kern w:val="0"/>
          <w:szCs w:val="21"/>
          <w:highlight w:val="none"/>
          <w:lang w:val="zh-CN"/>
        </w:rPr>
      </w:pPr>
      <w:r>
        <w:rPr>
          <w:rFonts w:hint="default" w:ascii="Times New Roman" w:hAnsi="Times New Roman" w:eastAsia="宋体" w:cs="Times New Roman"/>
          <w:color w:val="auto"/>
          <w:kern w:val="0"/>
          <w:szCs w:val="21"/>
          <w:highlight w:val="none"/>
          <w:lang w:val="zh-CN"/>
        </w:rPr>
        <w:t>（2）乙方的</w:t>
      </w:r>
      <w:r>
        <w:rPr>
          <w:rFonts w:hint="eastAsia" w:ascii="Times New Roman" w:hAnsi="Times New Roman" w:eastAsia="宋体" w:cs="Times New Roman"/>
          <w:color w:val="auto"/>
          <w:kern w:val="0"/>
          <w:szCs w:val="21"/>
          <w:highlight w:val="none"/>
        </w:rPr>
        <w:t>响应</w:t>
      </w:r>
      <w:r>
        <w:rPr>
          <w:rFonts w:hint="default" w:ascii="Times New Roman" w:hAnsi="Times New Roman" w:eastAsia="宋体" w:cs="Times New Roman"/>
          <w:color w:val="auto"/>
          <w:kern w:val="0"/>
          <w:szCs w:val="21"/>
          <w:highlight w:val="none"/>
          <w:lang w:val="zh-CN"/>
        </w:rPr>
        <w:t>文件；</w:t>
      </w:r>
    </w:p>
    <w:p w14:paraId="0C776C58">
      <w:pPr>
        <w:spacing w:line="360" w:lineRule="auto"/>
        <w:ind w:firstLine="380"/>
        <w:rPr>
          <w:rFonts w:hint="default" w:ascii="Times New Roman" w:hAnsi="Times New Roman" w:eastAsia="宋体" w:cs="Times New Roman"/>
          <w:color w:val="auto"/>
          <w:kern w:val="0"/>
          <w:szCs w:val="21"/>
          <w:highlight w:val="none"/>
          <w:lang w:val="zh-CN"/>
        </w:rPr>
      </w:pPr>
      <w:r>
        <w:rPr>
          <w:rFonts w:hint="default" w:ascii="Times New Roman" w:hAnsi="Times New Roman" w:eastAsia="宋体" w:cs="Times New Roman"/>
          <w:color w:val="auto"/>
          <w:kern w:val="0"/>
          <w:szCs w:val="21"/>
          <w:highlight w:val="none"/>
          <w:lang w:val="zh-CN"/>
        </w:rPr>
        <w:t>（3）乙方在招投标过程中所作的其它承诺、声明、书面澄清等；</w:t>
      </w:r>
    </w:p>
    <w:p w14:paraId="2C2B66DB">
      <w:pPr>
        <w:spacing w:line="360" w:lineRule="auto"/>
        <w:ind w:firstLine="380"/>
        <w:rPr>
          <w:rFonts w:hint="default" w:ascii="Times New Roman" w:hAnsi="Times New Roman" w:eastAsia="宋体" w:cs="Times New Roman"/>
          <w:color w:val="auto"/>
          <w:kern w:val="0"/>
          <w:szCs w:val="21"/>
          <w:highlight w:val="none"/>
          <w:lang w:val="zh-CN"/>
        </w:rPr>
      </w:pPr>
      <w:r>
        <w:rPr>
          <w:rFonts w:hint="default" w:ascii="Times New Roman" w:hAnsi="Times New Roman" w:eastAsia="宋体" w:cs="Times New Roman"/>
          <w:color w:val="auto"/>
          <w:kern w:val="0"/>
          <w:szCs w:val="21"/>
          <w:highlight w:val="none"/>
          <w:lang w:val="zh-CN"/>
        </w:rPr>
        <w:t>（4）</w:t>
      </w:r>
      <w:r>
        <w:rPr>
          <w:rFonts w:hint="eastAsia" w:ascii="Times New Roman" w:hAnsi="Times New Roman" w:eastAsia="宋体" w:cs="Times New Roman"/>
          <w:color w:val="auto"/>
          <w:kern w:val="0"/>
          <w:szCs w:val="21"/>
          <w:highlight w:val="none"/>
        </w:rPr>
        <w:t>采购</w:t>
      </w:r>
      <w:r>
        <w:rPr>
          <w:rFonts w:hint="default" w:ascii="Times New Roman" w:hAnsi="Times New Roman" w:eastAsia="宋体" w:cs="Times New Roman"/>
          <w:color w:val="auto"/>
          <w:kern w:val="0"/>
          <w:szCs w:val="21"/>
          <w:highlight w:val="none"/>
          <w:lang w:val="zh-CN"/>
        </w:rPr>
        <w:t>文件及其附件；</w:t>
      </w:r>
    </w:p>
    <w:p w14:paraId="3863B32A">
      <w:pPr>
        <w:spacing w:line="360" w:lineRule="auto"/>
        <w:ind w:firstLine="380"/>
        <w:rPr>
          <w:rFonts w:hint="default" w:ascii="Times New Roman" w:hAnsi="Times New Roman" w:eastAsia="宋体" w:cs="Times New Roman"/>
          <w:color w:val="auto"/>
          <w:kern w:val="0"/>
          <w:szCs w:val="21"/>
          <w:highlight w:val="none"/>
          <w:lang w:val="zh-CN"/>
        </w:rPr>
      </w:pPr>
      <w:r>
        <w:rPr>
          <w:rFonts w:hint="default" w:ascii="Times New Roman" w:hAnsi="Times New Roman" w:eastAsia="宋体" w:cs="Times New Roman"/>
          <w:color w:val="auto"/>
          <w:kern w:val="0"/>
          <w:szCs w:val="21"/>
          <w:highlight w:val="none"/>
          <w:lang w:val="zh-CN"/>
        </w:rPr>
        <w:t>（5）合同附件。</w:t>
      </w:r>
    </w:p>
    <w:p w14:paraId="7A74FAB9">
      <w:pPr>
        <w:spacing w:line="360" w:lineRule="auto"/>
        <w:ind w:firstLine="380"/>
        <w:rPr>
          <w:rFonts w:hint="default" w:ascii="Times New Roman" w:hAnsi="Times New Roman" w:eastAsia="宋体" w:cs="Times New Roman"/>
          <w:color w:val="auto"/>
          <w:kern w:val="0"/>
          <w:szCs w:val="21"/>
          <w:highlight w:val="none"/>
          <w:lang w:val="zh-CN"/>
        </w:rPr>
      </w:pPr>
      <w:r>
        <w:rPr>
          <w:rFonts w:hint="default" w:ascii="Times New Roman" w:hAnsi="Times New Roman" w:eastAsia="宋体" w:cs="Times New Roman"/>
          <w:color w:val="auto"/>
          <w:kern w:val="0"/>
          <w:szCs w:val="21"/>
          <w:highlight w:val="none"/>
          <w:lang w:val="zh-CN"/>
        </w:rPr>
        <w:t>以上与本合同具有同等法律效力</w:t>
      </w:r>
    </w:p>
    <w:p w14:paraId="4C33D9EC">
      <w:pPr>
        <w:widowControl w:val="0"/>
        <w:spacing w:line="360" w:lineRule="auto"/>
        <w:jc w:val="both"/>
        <w:rPr>
          <w:rFonts w:hint="default" w:ascii="Times New Roman" w:hAnsi="Times New Roman" w:eastAsia="宋体" w:cs="Times New Roman"/>
          <w:b/>
          <w:color w:val="auto"/>
          <w:sz w:val="21"/>
          <w:szCs w:val="21"/>
          <w:highlight w:val="none"/>
          <w:lang w:val="en-US" w:eastAsia="zh-CN" w:bidi="ar-SA"/>
        </w:rPr>
      </w:pPr>
      <w:r>
        <w:rPr>
          <w:rFonts w:hint="default" w:ascii="Times New Roman" w:hAnsi="Times New Roman" w:eastAsia="宋体" w:cs="Times New Roman"/>
          <w:b/>
          <w:color w:val="auto"/>
          <w:sz w:val="21"/>
          <w:szCs w:val="21"/>
          <w:highlight w:val="none"/>
          <w:lang w:val="en-US" w:eastAsia="zh-CN" w:bidi="ar-SA"/>
        </w:rPr>
        <w:t>二、合同价格及费用结算：</w:t>
      </w:r>
    </w:p>
    <w:p w14:paraId="17D88714">
      <w:pPr>
        <w:widowControl w:val="0"/>
        <w:spacing w:line="360" w:lineRule="auto"/>
        <w:ind w:firstLine="435"/>
        <w:jc w:val="both"/>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u w:val="single"/>
          <w:lang w:val="en-US" w:eastAsia="zh-CN" w:bidi="ar-SA"/>
        </w:rPr>
        <w:t>合同总价：</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w:t>
      </w:r>
    </w:p>
    <w:p w14:paraId="7DAB7363">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以上价格应包括但不限于人工（包括工资、高温费、奖金、社保、法定节假日等各类加班费、各类保险费等费用）、专用设备、工具、易耗材、办公设备、巡检器材、服装、胸卡、通讯、保险、各种税费、政策性文件规定及合同包含的所有风险、责任等的费用，合同期内不再追加任何费用（包括最低工资、社保调整所增加的费用等）。</w:t>
      </w:r>
    </w:p>
    <w:p w14:paraId="3B86771A">
      <w:pPr>
        <w:widowControl w:val="0"/>
        <w:spacing w:line="360" w:lineRule="auto"/>
        <w:ind w:firstLine="480"/>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2、付款方式：（</w:t>
      </w:r>
      <w:r>
        <w:rPr>
          <w:rFonts w:hint="eastAsia" w:ascii="宋体" w:hAnsi="宋体" w:eastAsia="宋体" w:cs="宋体"/>
          <w:color w:val="auto"/>
          <w:sz w:val="21"/>
          <w:szCs w:val="21"/>
          <w:highlight w:val="none"/>
          <w:lang w:val="en-US" w:eastAsia="zh-CN" w:bidi="ar-SA"/>
        </w:rPr>
        <w:t>由乙方进行勾选</w:t>
      </w:r>
      <w:r>
        <w:rPr>
          <w:rFonts w:hint="eastAsia" w:ascii="宋体" w:hAnsi="宋体" w:eastAsia="宋体" w:cs="宋体"/>
          <w:color w:val="auto"/>
          <w:sz w:val="21"/>
          <w:szCs w:val="21"/>
          <w:highlight w:val="none"/>
          <w:lang w:val="zh-CN" w:eastAsia="zh-CN" w:bidi="ar-SA"/>
        </w:rPr>
        <w:t>）</w:t>
      </w:r>
    </w:p>
    <w:p w14:paraId="530F5F7C">
      <w:pPr>
        <w:spacing w:line="360" w:lineRule="auto"/>
        <w:ind w:firstLine="441"/>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A、□在签订合同时，乙方明确表示需要甲方支付预付款的</w:t>
      </w:r>
    </w:p>
    <w:p w14:paraId="53AF49D2">
      <w:pPr>
        <w:widowControl w:val="0"/>
        <w:spacing w:line="360" w:lineRule="auto"/>
        <w:ind w:firstLine="480"/>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采购合同签订生效后，甲方在10个工作日内向乙方支付合同金额10%的预付款。服务</w:t>
      </w:r>
      <w:r>
        <w:rPr>
          <w:rFonts w:hint="eastAsia" w:ascii="宋体" w:hAnsi="宋体" w:eastAsia="宋体" w:cs="宋体"/>
          <w:color w:val="auto"/>
          <w:sz w:val="21"/>
          <w:szCs w:val="21"/>
          <w:highlight w:val="none"/>
          <w:lang w:val="zh-CN" w:eastAsia="zh-CN" w:bidi="ar-SA"/>
        </w:rPr>
        <w:t>费</w:t>
      </w:r>
      <w:r>
        <w:rPr>
          <w:rFonts w:hint="eastAsia" w:ascii="宋体" w:hAnsi="宋体" w:eastAsia="宋体" w:cs="宋体"/>
          <w:color w:val="auto"/>
          <w:sz w:val="21"/>
          <w:szCs w:val="21"/>
          <w:highlight w:val="none"/>
          <w:lang w:val="en-US" w:eastAsia="zh-CN" w:bidi="ar-SA"/>
        </w:rPr>
        <w:t>每月结算一次</w:t>
      </w:r>
      <w:r>
        <w:rPr>
          <w:rFonts w:hint="eastAsia" w:ascii="宋体" w:hAnsi="宋体" w:eastAsia="宋体" w:cs="宋体"/>
          <w:color w:val="auto"/>
          <w:sz w:val="21"/>
          <w:szCs w:val="21"/>
          <w:highlight w:val="none"/>
          <w:lang w:val="zh-CN" w:eastAsia="zh-CN" w:bidi="ar-SA"/>
        </w:rPr>
        <w:t>，每</w:t>
      </w:r>
      <w:r>
        <w:rPr>
          <w:rFonts w:hint="eastAsia" w:ascii="宋体" w:hAnsi="宋体" w:eastAsia="宋体" w:cs="宋体"/>
          <w:color w:val="auto"/>
          <w:sz w:val="21"/>
          <w:szCs w:val="21"/>
          <w:highlight w:val="none"/>
          <w:lang w:val="en-US" w:eastAsia="zh-CN" w:bidi="ar-SA"/>
        </w:rPr>
        <w:t>月</w:t>
      </w:r>
      <w:r>
        <w:rPr>
          <w:rFonts w:hint="eastAsia" w:ascii="宋体" w:hAnsi="宋体" w:eastAsia="宋体" w:cs="宋体"/>
          <w:color w:val="auto"/>
          <w:sz w:val="21"/>
          <w:szCs w:val="21"/>
          <w:highlight w:val="none"/>
          <w:lang w:val="zh-CN" w:eastAsia="zh-CN" w:bidi="ar-SA"/>
        </w:rPr>
        <w:t>应结算的</w:t>
      </w:r>
      <w:r>
        <w:rPr>
          <w:rFonts w:hint="eastAsia" w:ascii="宋体" w:hAnsi="宋体" w:eastAsia="宋体" w:cs="宋体"/>
          <w:color w:val="auto"/>
          <w:sz w:val="21"/>
          <w:szCs w:val="21"/>
          <w:highlight w:val="none"/>
          <w:lang w:val="en-US" w:eastAsia="zh-CN" w:bidi="ar-SA"/>
        </w:rPr>
        <w:t>服务</w:t>
      </w:r>
      <w:r>
        <w:rPr>
          <w:rFonts w:hint="eastAsia" w:ascii="宋体" w:hAnsi="宋体" w:eastAsia="宋体" w:cs="宋体"/>
          <w:color w:val="auto"/>
          <w:sz w:val="21"/>
          <w:szCs w:val="21"/>
          <w:highlight w:val="none"/>
          <w:lang w:val="zh-CN" w:eastAsia="zh-CN" w:bidi="ar-SA"/>
        </w:rPr>
        <w:t>费=</w:t>
      </w:r>
      <w:r>
        <w:rPr>
          <w:rFonts w:hint="eastAsia" w:ascii="宋体" w:hAnsi="宋体" w:eastAsia="宋体" w:cs="宋体"/>
          <w:color w:val="auto"/>
          <w:sz w:val="21"/>
          <w:szCs w:val="21"/>
          <w:highlight w:val="none"/>
          <w:lang w:val="en-US" w:eastAsia="zh-CN" w:bidi="ar-SA"/>
        </w:rPr>
        <w:t>合同总价*90%</w:t>
      </w:r>
      <w:r>
        <w:rPr>
          <w:rFonts w:hint="eastAsia" w:ascii="宋体" w:hAnsi="宋体" w:eastAsia="宋体" w:cs="宋体"/>
          <w:color w:val="auto"/>
          <w:sz w:val="21"/>
          <w:szCs w:val="21"/>
          <w:highlight w:val="none"/>
          <w:lang w:val="zh-CN" w:eastAsia="zh-CN" w:bidi="ar-SA"/>
        </w:rPr>
        <w:t>/</w:t>
      </w:r>
      <w:r>
        <w:rPr>
          <w:rFonts w:hint="eastAsia" w:ascii="宋体" w:hAnsi="宋体" w:cs="宋体"/>
          <w:color w:val="auto"/>
          <w:sz w:val="21"/>
          <w:szCs w:val="21"/>
          <w:highlight w:val="none"/>
          <w:lang w:val="en-US" w:eastAsia="zh-CN" w:bidi="ar-SA"/>
        </w:rPr>
        <w:t>24</w:t>
      </w:r>
      <w:r>
        <w:rPr>
          <w:rFonts w:hint="eastAsia" w:ascii="宋体" w:hAnsi="宋体" w:eastAsia="宋体" w:cs="宋体"/>
          <w:color w:val="auto"/>
          <w:sz w:val="21"/>
          <w:szCs w:val="21"/>
          <w:highlight w:val="none"/>
          <w:lang w:val="en-US" w:eastAsia="zh-CN" w:bidi="ar-SA"/>
        </w:rPr>
        <w:t>-考核扣款</w:t>
      </w:r>
      <w:r>
        <w:rPr>
          <w:rFonts w:hint="eastAsia" w:ascii="宋体" w:hAnsi="宋体" w:eastAsia="宋体" w:cs="宋体"/>
          <w:color w:val="auto"/>
          <w:sz w:val="21"/>
          <w:szCs w:val="21"/>
          <w:highlight w:val="none"/>
          <w:lang w:val="zh-CN" w:eastAsia="zh-CN" w:bidi="ar-SA"/>
        </w:rPr>
        <w:t>；当月款项</w:t>
      </w:r>
      <w:r>
        <w:rPr>
          <w:rFonts w:hint="eastAsia" w:ascii="宋体" w:hAnsi="宋体" w:eastAsia="宋体" w:cs="宋体"/>
          <w:color w:val="auto"/>
          <w:sz w:val="21"/>
          <w:szCs w:val="21"/>
          <w:highlight w:val="none"/>
          <w:lang w:val="en-US" w:eastAsia="zh-CN" w:bidi="ar-SA"/>
        </w:rPr>
        <w:t>在甲方收到乙方发票后15日内进行支付</w:t>
      </w:r>
      <w:r>
        <w:rPr>
          <w:rFonts w:hint="eastAsia" w:ascii="宋体" w:hAnsi="宋体" w:eastAsia="宋体" w:cs="宋体"/>
          <w:color w:val="auto"/>
          <w:sz w:val="21"/>
          <w:szCs w:val="21"/>
          <w:highlight w:val="none"/>
          <w:lang w:val="zh-CN" w:eastAsia="zh-CN" w:bidi="ar-SA"/>
        </w:rPr>
        <w:t>。</w:t>
      </w:r>
    </w:p>
    <w:p w14:paraId="6D1D7E5A">
      <w:pPr>
        <w:spacing w:line="360" w:lineRule="auto"/>
        <w:ind w:firstLine="441"/>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B、</w:t>
      </w:r>
      <w:r>
        <w:rPr>
          <w:rFonts w:hint="eastAsia" w:ascii="宋体" w:hAnsi="宋体" w:cs="宋体"/>
          <w:color w:val="auto"/>
          <w:kern w:val="0"/>
          <w:szCs w:val="21"/>
          <w:highlight w:val="none"/>
          <w:lang w:eastAsia="zh-CN"/>
        </w:rPr>
        <w:t>□</w:t>
      </w:r>
      <w:r>
        <w:rPr>
          <w:rFonts w:hint="eastAsia" w:ascii="宋体" w:hAnsi="宋体" w:eastAsia="宋体" w:cs="宋体"/>
          <w:color w:val="auto"/>
          <w:kern w:val="0"/>
          <w:szCs w:val="21"/>
          <w:highlight w:val="none"/>
        </w:rPr>
        <w:t>在签订合同时，乙方明确表示无需甲方支付预付款的</w:t>
      </w:r>
    </w:p>
    <w:p w14:paraId="298F938B">
      <w:pPr>
        <w:widowControl w:val="0"/>
        <w:spacing w:line="360" w:lineRule="auto"/>
        <w:ind w:firstLine="48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采购合同签订生效后，服务</w:t>
      </w:r>
      <w:r>
        <w:rPr>
          <w:rFonts w:hint="eastAsia" w:ascii="宋体" w:hAnsi="宋体" w:eastAsia="宋体" w:cs="宋体"/>
          <w:color w:val="auto"/>
          <w:sz w:val="21"/>
          <w:szCs w:val="21"/>
          <w:highlight w:val="none"/>
          <w:lang w:val="zh-CN" w:eastAsia="zh-CN" w:bidi="ar-SA"/>
        </w:rPr>
        <w:t>费</w:t>
      </w:r>
      <w:r>
        <w:rPr>
          <w:rFonts w:hint="eastAsia" w:ascii="宋体" w:hAnsi="宋体" w:eastAsia="宋体" w:cs="宋体"/>
          <w:color w:val="auto"/>
          <w:sz w:val="21"/>
          <w:szCs w:val="21"/>
          <w:highlight w:val="none"/>
          <w:lang w:val="en-US" w:eastAsia="zh-CN" w:bidi="ar-SA"/>
        </w:rPr>
        <w:t>每月结算一次</w:t>
      </w:r>
      <w:r>
        <w:rPr>
          <w:rFonts w:hint="eastAsia" w:ascii="宋体" w:hAnsi="宋体" w:eastAsia="宋体" w:cs="宋体"/>
          <w:color w:val="auto"/>
          <w:sz w:val="21"/>
          <w:szCs w:val="21"/>
          <w:highlight w:val="none"/>
          <w:lang w:val="zh-CN" w:eastAsia="zh-CN" w:bidi="ar-SA"/>
        </w:rPr>
        <w:t>，每</w:t>
      </w:r>
      <w:r>
        <w:rPr>
          <w:rFonts w:hint="eastAsia" w:ascii="宋体" w:hAnsi="宋体" w:eastAsia="宋体" w:cs="宋体"/>
          <w:color w:val="auto"/>
          <w:sz w:val="21"/>
          <w:szCs w:val="21"/>
          <w:highlight w:val="none"/>
          <w:lang w:val="en-US" w:eastAsia="zh-CN" w:bidi="ar-SA"/>
        </w:rPr>
        <w:t>月</w:t>
      </w:r>
      <w:r>
        <w:rPr>
          <w:rFonts w:hint="eastAsia" w:ascii="宋体" w:hAnsi="宋体" w:eastAsia="宋体" w:cs="宋体"/>
          <w:color w:val="auto"/>
          <w:sz w:val="21"/>
          <w:szCs w:val="21"/>
          <w:highlight w:val="none"/>
          <w:lang w:val="zh-CN" w:eastAsia="zh-CN" w:bidi="ar-SA"/>
        </w:rPr>
        <w:t>应结算的</w:t>
      </w:r>
      <w:r>
        <w:rPr>
          <w:rFonts w:hint="eastAsia" w:ascii="宋体" w:hAnsi="宋体" w:eastAsia="宋体" w:cs="宋体"/>
          <w:color w:val="auto"/>
          <w:sz w:val="21"/>
          <w:szCs w:val="21"/>
          <w:highlight w:val="none"/>
          <w:lang w:val="en-US" w:eastAsia="zh-CN" w:bidi="ar-SA"/>
        </w:rPr>
        <w:t>服务</w:t>
      </w:r>
      <w:r>
        <w:rPr>
          <w:rFonts w:hint="eastAsia" w:ascii="宋体" w:hAnsi="宋体" w:eastAsia="宋体" w:cs="宋体"/>
          <w:color w:val="auto"/>
          <w:sz w:val="21"/>
          <w:szCs w:val="21"/>
          <w:highlight w:val="none"/>
          <w:lang w:val="zh-CN" w:eastAsia="zh-CN" w:bidi="ar-SA"/>
        </w:rPr>
        <w:t>费=</w:t>
      </w:r>
      <w:r>
        <w:rPr>
          <w:rFonts w:hint="eastAsia" w:ascii="宋体" w:hAnsi="宋体" w:eastAsia="宋体" w:cs="宋体"/>
          <w:color w:val="auto"/>
          <w:sz w:val="21"/>
          <w:szCs w:val="21"/>
          <w:highlight w:val="none"/>
          <w:lang w:val="en-US" w:eastAsia="zh-CN" w:bidi="ar-SA"/>
        </w:rPr>
        <w:t>合同总价</w:t>
      </w:r>
      <w:r>
        <w:rPr>
          <w:rFonts w:hint="eastAsia" w:ascii="宋体" w:hAnsi="宋体" w:eastAsia="宋体" w:cs="宋体"/>
          <w:color w:val="auto"/>
          <w:sz w:val="21"/>
          <w:szCs w:val="21"/>
          <w:highlight w:val="none"/>
          <w:lang w:val="zh-CN" w:eastAsia="zh-CN" w:bidi="ar-SA"/>
        </w:rPr>
        <w:t>/</w:t>
      </w:r>
      <w:r>
        <w:rPr>
          <w:rFonts w:hint="eastAsia" w:ascii="宋体" w:hAnsi="宋体" w:cs="宋体"/>
          <w:color w:val="auto"/>
          <w:sz w:val="21"/>
          <w:szCs w:val="21"/>
          <w:highlight w:val="none"/>
          <w:lang w:val="en-US" w:eastAsia="zh-CN" w:bidi="ar-SA"/>
        </w:rPr>
        <w:t>24</w:t>
      </w:r>
      <w:r>
        <w:rPr>
          <w:rFonts w:hint="eastAsia" w:ascii="宋体" w:hAnsi="宋体" w:eastAsia="宋体" w:cs="宋体"/>
          <w:color w:val="auto"/>
          <w:sz w:val="21"/>
          <w:szCs w:val="21"/>
          <w:highlight w:val="none"/>
          <w:lang w:val="en-US" w:eastAsia="zh-CN" w:bidi="ar-SA"/>
        </w:rPr>
        <w:t>-考核扣款</w:t>
      </w:r>
      <w:r>
        <w:rPr>
          <w:rFonts w:hint="eastAsia" w:ascii="宋体" w:hAnsi="宋体" w:eastAsia="宋体" w:cs="宋体"/>
          <w:color w:val="auto"/>
          <w:sz w:val="21"/>
          <w:szCs w:val="21"/>
          <w:highlight w:val="none"/>
          <w:lang w:val="zh-CN" w:eastAsia="zh-CN" w:bidi="ar-SA"/>
        </w:rPr>
        <w:t>；当月款项</w:t>
      </w:r>
      <w:r>
        <w:rPr>
          <w:rFonts w:hint="eastAsia" w:ascii="宋体" w:hAnsi="宋体" w:eastAsia="宋体" w:cs="宋体"/>
          <w:color w:val="auto"/>
          <w:sz w:val="21"/>
          <w:szCs w:val="21"/>
          <w:highlight w:val="none"/>
          <w:lang w:val="en-US" w:eastAsia="zh-CN" w:bidi="ar-SA"/>
        </w:rPr>
        <w:t>在甲方收到乙方发票后15日内进行支付</w:t>
      </w:r>
      <w:r>
        <w:rPr>
          <w:rFonts w:hint="eastAsia" w:ascii="宋体" w:hAnsi="宋体" w:eastAsia="宋体" w:cs="宋体"/>
          <w:color w:val="auto"/>
          <w:sz w:val="21"/>
          <w:szCs w:val="21"/>
          <w:highlight w:val="none"/>
          <w:lang w:val="zh-CN" w:eastAsia="zh-CN" w:bidi="ar-SA"/>
        </w:rPr>
        <w:t>。</w:t>
      </w:r>
    </w:p>
    <w:p w14:paraId="2E65FDC7">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zh-CN" w:eastAsia="zh-CN" w:bidi="ar-SA"/>
        </w:rPr>
        <w:t>如成交人对服务缺陷不予更正，采购人有权另请其他单位更正，所发生的费用在履约保证金中扣除。</w:t>
      </w:r>
    </w:p>
    <w:p w14:paraId="29AB3B62">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4、</w:t>
      </w:r>
      <w:r>
        <w:rPr>
          <w:rFonts w:hint="eastAsia" w:ascii="宋体" w:hAnsi="宋体" w:eastAsia="宋体" w:cs="宋体"/>
          <w:color w:val="auto"/>
          <w:sz w:val="21"/>
          <w:szCs w:val="21"/>
          <w:highlight w:val="none"/>
          <w:lang w:val="zh-CN" w:eastAsia="zh-CN" w:bidi="ar-SA"/>
        </w:rPr>
        <w:t>甲方支付此项费用外不再承担其它任何费用（包括个人），服务人员的薪金、福利、休假日补贴等由乙方付给，与甲方无关。</w:t>
      </w:r>
    </w:p>
    <w:p w14:paraId="7BCD0713">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val="zh-CN" w:eastAsia="zh-CN" w:bidi="ar-SA"/>
        </w:rPr>
        <w:t>确因甲方工作需要，乙方应无条件配合甲方完成一些突击工作。如：安排服务人员（内部）临时加班。</w:t>
      </w:r>
    </w:p>
    <w:p w14:paraId="49110B8E">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6、</w:t>
      </w:r>
      <w:r>
        <w:rPr>
          <w:rFonts w:hint="eastAsia" w:ascii="宋体" w:hAnsi="宋体" w:eastAsia="宋体" w:cs="宋体"/>
          <w:color w:val="auto"/>
          <w:sz w:val="21"/>
          <w:szCs w:val="21"/>
          <w:highlight w:val="none"/>
          <w:lang w:val="zh-CN" w:eastAsia="zh-CN" w:bidi="ar-SA"/>
        </w:rPr>
        <w:t>合同有效期间，在合同服务内容以外，如因医院发展需要和发生公共突发事件（如：天灾、疫情、战争、暴乱、重大事故等）等类似事项，需乙方全力配合的，属于本合同签订时不可预知的情形，在此期间所产生的相关费用甲方应另行支付。</w:t>
      </w:r>
    </w:p>
    <w:p w14:paraId="250A1BE9">
      <w:pPr>
        <w:widowControl w:val="0"/>
        <w:spacing w:line="360" w:lineRule="auto"/>
        <w:ind w:firstLine="435"/>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7、履约保证金</w:t>
      </w:r>
    </w:p>
    <w:p w14:paraId="6B43345A">
      <w:pPr>
        <w:spacing w:line="360" w:lineRule="auto"/>
        <w:ind w:firstLine="422"/>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（1）合同签订后，乙方接到甲方通知后，向甲方缴纳合同金额的10%作为履约保证金。</w:t>
      </w:r>
    </w:p>
    <w:p w14:paraId="5577CE77">
      <w:pPr>
        <w:spacing w:line="360" w:lineRule="auto"/>
        <w:ind w:firstLine="422"/>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（2）如果乙方未能履行合同规定的任何义务，甲方有权从履约保证金中取得补偿，履约保证金不足的，乙方需补足。</w:t>
      </w:r>
    </w:p>
    <w:p w14:paraId="0FD44473">
      <w:pPr>
        <w:spacing w:line="360" w:lineRule="auto"/>
        <w:ind w:firstLine="422"/>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（3）履约保证金（无息）将在验收合格满一年后由甲方全额退回。</w:t>
      </w:r>
    </w:p>
    <w:p w14:paraId="02AB0A16">
      <w:pPr>
        <w:spacing w:line="360" w:lineRule="auto"/>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三 、考核方案</w:t>
      </w:r>
    </w:p>
    <w:p w14:paraId="52B0FCA3">
      <w:pPr>
        <w:widowControl w:val="0"/>
        <w:spacing w:line="360" w:lineRule="auto"/>
        <w:ind w:firstLine="420"/>
        <w:jc w:val="both"/>
        <w:rPr>
          <w:rFonts w:hint="default" w:ascii="宋体" w:hAnsi="宋体" w:eastAsia="宋体" w:cs="Times New Roman"/>
          <w:color w:val="auto"/>
          <w:sz w:val="21"/>
          <w:szCs w:val="21"/>
          <w:highlight w:val="none"/>
          <w:lang w:val="en-US" w:eastAsia="zh-CN" w:bidi="ar-SA"/>
        </w:rPr>
      </w:pPr>
      <w:r>
        <w:rPr>
          <w:rFonts w:hint="eastAsia" w:ascii="Times New Roman" w:hAnsi="宋体" w:eastAsia="宋体" w:cs="Times New Roman"/>
          <w:color w:val="auto"/>
          <w:sz w:val="21"/>
          <w:szCs w:val="21"/>
          <w:highlight w:val="none"/>
          <w:lang w:val="en-US" w:eastAsia="zh-CN" w:bidi="ar-SA"/>
        </w:rPr>
        <w:t>1、</w:t>
      </w:r>
      <w:r>
        <w:rPr>
          <w:rFonts w:hint="eastAsia" w:ascii="宋体" w:hAnsi="宋体" w:eastAsia="宋体" w:cs="Times New Roman"/>
          <w:color w:val="auto"/>
          <w:sz w:val="21"/>
          <w:szCs w:val="21"/>
          <w:highlight w:val="none"/>
          <w:lang w:val="en-US" w:eastAsia="zh-CN" w:bidi="ar-SA"/>
        </w:rPr>
        <w:t>采购人对中标人的服务质量按《服务质量考核细则》进行考</w:t>
      </w:r>
      <w:r>
        <w:rPr>
          <w:rFonts w:hint="eastAsia" w:ascii="Times New Roman" w:hAnsi="宋体" w:eastAsia="宋体" w:cs="Times New Roman"/>
          <w:color w:val="auto"/>
          <w:sz w:val="21"/>
          <w:szCs w:val="21"/>
          <w:highlight w:val="none"/>
          <w:lang w:val="en-US" w:eastAsia="zh-CN" w:bidi="ar-SA"/>
        </w:rPr>
        <w:t>核，每月考核结果与服务费用挂钩，考核扣0-10分，服务费全额给付；如考核扣11-20分，在10分基础上每多扣1分扣除服务费</w:t>
      </w:r>
      <w:r>
        <w:rPr>
          <w:rFonts w:hint="eastAsia" w:hAnsi="宋体" w:cs="Times New Roman"/>
          <w:color w:val="auto"/>
          <w:sz w:val="21"/>
          <w:szCs w:val="21"/>
          <w:highlight w:val="none"/>
          <w:lang w:val="en-US" w:eastAsia="zh-CN" w:bidi="ar-SA"/>
        </w:rPr>
        <w:t>1000元</w:t>
      </w:r>
      <w:r>
        <w:rPr>
          <w:rFonts w:hint="eastAsia" w:ascii="Times New Roman" w:hAnsi="宋体" w:eastAsia="宋体" w:cs="Times New Roman"/>
          <w:color w:val="auto"/>
          <w:sz w:val="21"/>
          <w:szCs w:val="21"/>
          <w:highlight w:val="none"/>
          <w:lang w:val="en-US" w:eastAsia="zh-CN" w:bidi="ar-SA"/>
        </w:rPr>
        <w:t>；考核扣21-30分；在20分基础上每多扣1分扣除服务费</w:t>
      </w:r>
      <w:r>
        <w:rPr>
          <w:rFonts w:hint="eastAsia" w:hAnsi="宋体" w:cs="Times New Roman"/>
          <w:color w:val="auto"/>
          <w:sz w:val="21"/>
          <w:szCs w:val="21"/>
          <w:highlight w:val="none"/>
          <w:lang w:val="en-US" w:eastAsia="zh-CN" w:bidi="ar-SA"/>
        </w:rPr>
        <w:t>2000元，</w:t>
      </w:r>
      <w:r>
        <w:rPr>
          <w:rFonts w:hint="eastAsia" w:ascii="宋体" w:hAnsi="宋体" w:cs="宋体"/>
          <w:bCs/>
          <w:color w:val="auto"/>
          <w:szCs w:val="21"/>
          <w:highlight w:val="none"/>
          <w:lang w:val="en-US" w:eastAsia="zh-CN"/>
        </w:rPr>
        <w:t>并</w:t>
      </w:r>
      <w:r>
        <w:rPr>
          <w:rFonts w:hint="eastAsia" w:ascii="宋体" w:hAnsi="宋体" w:cs="宋体"/>
          <w:bCs/>
          <w:color w:val="auto"/>
          <w:szCs w:val="21"/>
          <w:highlight w:val="none"/>
        </w:rPr>
        <w:t>提出书面整改通知</w:t>
      </w:r>
      <w:r>
        <w:rPr>
          <w:rFonts w:hint="eastAsia" w:ascii="Times New Roman" w:hAnsi="宋体" w:eastAsia="宋体" w:cs="Times New Roman"/>
          <w:color w:val="auto"/>
          <w:sz w:val="21"/>
          <w:szCs w:val="21"/>
          <w:highlight w:val="none"/>
          <w:lang w:val="en-US" w:eastAsia="zh-CN" w:bidi="ar-SA"/>
        </w:rPr>
        <w:t>。（费用扣除分段累进计算）；</w:t>
      </w:r>
      <w:r>
        <w:rPr>
          <w:rFonts w:hint="eastAsia" w:hAnsi="宋体"/>
          <w:color w:val="auto"/>
          <w:szCs w:val="21"/>
          <w:highlight w:val="none"/>
        </w:rPr>
        <w:t>考核扣除30分以上的、连续两个月扣除超过20分以上的或累积三个月考核扣除超过10分以上的无条件终止合同且无须支付任何费用及不予退还履约保证金。</w:t>
      </w:r>
    </w:p>
    <w:p w14:paraId="7487C049">
      <w:pPr>
        <w:widowControl w:val="0"/>
        <w:spacing w:line="360" w:lineRule="auto"/>
        <w:ind w:firstLine="480"/>
        <w:jc w:val="both"/>
        <w:rPr>
          <w:rFonts w:hint="default" w:ascii="Times New Roman" w:hAnsi="宋体" w:eastAsia="宋体" w:cs="Times New Roman"/>
          <w:color w:val="auto"/>
          <w:sz w:val="21"/>
          <w:szCs w:val="21"/>
          <w:highlight w:val="none"/>
          <w:lang w:val="en-US" w:eastAsia="zh-CN" w:bidi="ar-SA"/>
        </w:rPr>
      </w:pPr>
      <w:r>
        <w:rPr>
          <w:rFonts w:hint="eastAsia" w:ascii="Times New Roman" w:hAnsi="宋体" w:eastAsia="宋体" w:cs="Times New Roman"/>
          <w:color w:val="auto"/>
          <w:sz w:val="21"/>
          <w:szCs w:val="21"/>
          <w:highlight w:val="none"/>
          <w:lang w:val="en-US" w:eastAsia="zh-CN" w:bidi="ar-SA"/>
        </w:rPr>
        <w:t>2、中标人在服务期间应认真履职，如服务期间由于中标人管理不善或失误，除了按考核细则要求扣除当月的服务费之外，对造成的损失要进行全额赔偿。</w:t>
      </w:r>
    </w:p>
    <w:p w14:paraId="3025AA5F">
      <w:pPr>
        <w:widowControl w:val="0"/>
        <w:spacing w:line="360" w:lineRule="auto"/>
        <w:ind w:firstLine="480"/>
        <w:jc w:val="both"/>
        <w:rPr>
          <w:rFonts w:hint="eastAsia" w:ascii="Times New Roman" w:hAnsi="宋体" w:eastAsia="宋体" w:cs="Times New Roman"/>
          <w:color w:val="auto"/>
          <w:sz w:val="21"/>
          <w:szCs w:val="21"/>
          <w:highlight w:val="none"/>
          <w:lang w:val="en-US" w:eastAsia="zh-CN" w:bidi="ar-SA"/>
        </w:rPr>
      </w:pPr>
      <w:r>
        <w:rPr>
          <w:rFonts w:hint="eastAsia" w:ascii="Times New Roman" w:hAnsi="宋体" w:eastAsia="宋体" w:cs="Times New Roman"/>
          <w:color w:val="auto"/>
          <w:sz w:val="21"/>
          <w:szCs w:val="21"/>
          <w:highlight w:val="none"/>
          <w:lang w:val="en-US" w:eastAsia="zh-CN" w:bidi="ar-SA"/>
        </w:rPr>
        <w:t>3、考核细则（扣分制），《</w:t>
      </w:r>
      <w:r>
        <w:rPr>
          <w:rFonts w:hint="eastAsia" w:hAnsi="宋体" w:cs="Times New Roman"/>
          <w:color w:val="auto"/>
          <w:sz w:val="21"/>
          <w:szCs w:val="21"/>
          <w:highlight w:val="none"/>
          <w:lang w:val="en-US" w:eastAsia="zh-CN" w:bidi="ar-SA"/>
        </w:rPr>
        <w:t>保安服务</w:t>
      </w:r>
      <w:r>
        <w:rPr>
          <w:rFonts w:hint="eastAsia" w:ascii="Times New Roman" w:hAnsi="宋体" w:eastAsia="宋体" w:cs="Times New Roman"/>
          <w:color w:val="auto"/>
          <w:sz w:val="21"/>
          <w:szCs w:val="21"/>
          <w:highlight w:val="none"/>
          <w:lang w:val="en-US" w:eastAsia="zh-CN" w:bidi="ar-SA"/>
        </w:rPr>
        <w:t>考核表》详见合同附件1。</w:t>
      </w:r>
    </w:p>
    <w:p w14:paraId="6C89F200">
      <w:pPr>
        <w:widowControl w:val="0"/>
        <w:spacing w:line="360" w:lineRule="auto"/>
        <w:jc w:val="both"/>
        <w:rPr>
          <w:rFonts w:hint="default"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四、服务质量与检验：</w:t>
      </w:r>
    </w:p>
    <w:p w14:paraId="647929F6">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除日常考核等约定外，待整个服务项目开始实施后，验收时甲乙双方派员一起当场对所提供的服务项目进行逐一验收，如发现整个服务项目与投标承诺有出入时，应作详细记录，由乙方立即无条件更正，乙方</w:t>
      </w:r>
      <w:r>
        <w:rPr>
          <w:rFonts w:hint="eastAsia" w:ascii="宋体" w:hAnsi="宋体" w:eastAsia="宋体" w:cs="宋体"/>
          <w:color w:val="auto"/>
          <w:sz w:val="21"/>
          <w:szCs w:val="21"/>
          <w:highlight w:val="none"/>
          <w:lang w:val="en-US" w:eastAsia="zh-CN" w:bidi="ar-SA"/>
        </w:rPr>
        <w:t>拒不更正</w:t>
      </w:r>
      <w:r>
        <w:rPr>
          <w:rFonts w:hint="eastAsia" w:ascii="宋体" w:hAnsi="宋体" w:eastAsia="宋体" w:cs="宋体"/>
          <w:color w:val="auto"/>
          <w:sz w:val="21"/>
          <w:szCs w:val="21"/>
          <w:highlight w:val="none"/>
          <w:lang w:val="zh-CN" w:eastAsia="zh-CN" w:bidi="ar-SA"/>
        </w:rPr>
        <w:t>更正</w:t>
      </w:r>
      <w:r>
        <w:rPr>
          <w:rFonts w:hint="eastAsia" w:ascii="宋体" w:hAnsi="宋体" w:eastAsia="宋体" w:cs="宋体"/>
          <w:color w:val="auto"/>
          <w:sz w:val="21"/>
          <w:szCs w:val="21"/>
          <w:highlight w:val="none"/>
          <w:lang w:val="en-US" w:eastAsia="zh-CN" w:bidi="ar-SA"/>
        </w:rPr>
        <w:t>的，甲方有权终止合同，</w:t>
      </w:r>
      <w:r>
        <w:rPr>
          <w:rFonts w:hint="eastAsia" w:ascii="宋体" w:hAnsi="宋体" w:eastAsia="宋体" w:cs="宋体"/>
          <w:color w:val="auto"/>
          <w:sz w:val="21"/>
          <w:szCs w:val="21"/>
          <w:highlight w:val="none"/>
          <w:lang w:val="zh-CN" w:eastAsia="zh-CN" w:bidi="ar-SA"/>
        </w:rPr>
        <w:t>同时由乙方承担因此而产生的一切后果。</w:t>
      </w:r>
    </w:p>
    <w:p w14:paraId="2D9E8B2F">
      <w:pPr>
        <w:widowControl w:val="0"/>
        <w:spacing w:line="360" w:lineRule="auto"/>
        <w:jc w:val="both"/>
        <w:rPr>
          <w:rFonts w:hint="default"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五、甲、乙双方的责任</w:t>
      </w:r>
    </w:p>
    <w:p w14:paraId="27B8107E">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1、甲方责任及权利：</w:t>
      </w:r>
    </w:p>
    <w:p w14:paraId="70EE583B">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（1）为乙方物业管理部门提供办公用房及通讯设施；并指定专人作为甲方联系人予以协调工作。加强与乙方沟通，交流情况，互通信息。</w:t>
      </w:r>
    </w:p>
    <w:p w14:paraId="19B383DC">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（2）甲方因工作需要，乙方应无条件配合甲方完成一些突击工作。如：安排服务人员（内部）临时加班。甲方给予乙方员工一定的加班费补贴。</w:t>
      </w:r>
    </w:p>
    <w:p w14:paraId="66A69C1F">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（3）甲方应教育所属人员尊重乙方工作人员的劳动成果，积极配合乙方工作人员履行好合同所规定的职责和义务。</w:t>
      </w:r>
    </w:p>
    <w:p w14:paraId="00559383">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（4）如本合同及本合同不可分割部分之约定存有不一致，甲方有权选择有利条款进行各类主张，对此乙方予以接受。</w:t>
      </w:r>
    </w:p>
    <w:p w14:paraId="12017576">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2、乙方责任及权利：</w:t>
      </w:r>
    </w:p>
    <w:p w14:paraId="598E3792">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（1）乙方在从事安保管理服务工作中应当做到文明工作、安全生产，采取必要的安全防范措施，合同期内若发生安全事故等均由乙方承担，与甲方无关。</w:t>
      </w:r>
    </w:p>
    <w:p w14:paraId="3C65E7B0">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（2）乙方应及时调整不适应工作需求的安保管理服务人员及其他员工。如甲方认为该员工不能胜任本职工作的，乙方必须及时调整；如因此而影响甲方日常运营，则须承担全部责任。</w:t>
      </w:r>
    </w:p>
    <w:p w14:paraId="3C8EB08E">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（3）乙方应经常对员工进行岗位职责和安全教育，加强岗位责任考核。因管理不当、违规操作发生设备损坏、被盗等安全事故或其他事项造成甲方造成损失的，乙方需承担赔偿责任。</w:t>
      </w:r>
    </w:p>
    <w:p w14:paraId="153423E8">
      <w:pPr>
        <w:widowControl w:val="0"/>
        <w:spacing w:line="360" w:lineRule="auto"/>
        <w:jc w:val="both"/>
        <w:rPr>
          <w:rFonts w:hint="default"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六、违约责任（除已有约定外）</w:t>
      </w:r>
    </w:p>
    <w:p w14:paraId="2806C77D">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1、合同一方不履行合同义务或者履行合同义务不符合约定的，应当承担继续履行、采取补救措施或者赔偿损失等违约责任；同时守约方也有权视情形直接解除本合同并有权不予支付任何款项</w:t>
      </w:r>
      <w:r>
        <w:rPr>
          <w:rFonts w:hint="eastAsia" w:ascii="宋体" w:hAnsi="宋体" w:eastAsia="宋体" w:cs="宋体"/>
          <w:color w:val="auto"/>
          <w:sz w:val="21"/>
          <w:szCs w:val="21"/>
          <w:highlight w:val="none"/>
          <w:lang w:val="en-US" w:eastAsia="zh-CN" w:bidi="ar-SA"/>
        </w:rPr>
        <w:t>及不予退还履约保证金</w:t>
      </w:r>
      <w:r>
        <w:rPr>
          <w:rFonts w:hint="eastAsia" w:ascii="宋体" w:hAnsi="宋体" w:eastAsia="宋体" w:cs="宋体"/>
          <w:color w:val="auto"/>
          <w:sz w:val="21"/>
          <w:szCs w:val="21"/>
          <w:highlight w:val="none"/>
          <w:lang w:val="zh-CN" w:eastAsia="zh-CN" w:bidi="ar-SA"/>
        </w:rPr>
        <w:t>。</w:t>
      </w:r>
    </w:p>
    <w:p w14:paraId="02E04477">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2、不可抗力：</w:t>
      </w:r>
    </w:p>
    <w:p w14:paraId="55903F16">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2.1因不可抗力不能履行合同的，根据不可抗力的影响，部分或者全部免除责任。但合同一方迟延履行后发生不可抗力的，不能免除责任。</w:t>
      </w:r>
    </w:p>
    <w:p w14:paraId="6D319740">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2.2合同一方因不可抗力不能履行合同的，应当及时书面通知对方，以减轻可能给对方造成的损失，并应当在合理期限内提供证明。</w:t>
      </w:r>
    </w:p>
    <w:p w14:paraId="5B93047A">
      <w:pPr>
        <w:widowControl w:val="0"/>
        <w:spacing w:line="360" w:lineRule="auto"/>
        <w:jc w:val="both"/>
        <w:rPr>
          <w:rFonts w:hint="default"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七、合同的解除和转让（除已有约定外）</w:t>
      </w:r>
    </w:p>
    <w:p w14:paraId="00227AC0">
      <w:pPr>
        <w:widowControl w:val="0"/>
        <w:spacing w:line="360" w:lineRule="auto"/>
        <w:ind w:firstLine="435"/>
        <w:jc w:val="both"/>
        <w:rPr>
          <w:rFonts w:hint="default"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1、合同的解除（除已有约定外）</w:t>
      </w:r>
    </w:p>
    <w:p w14:paraId="1063A818">
      <w:pPr>
        <w:widowControl w:val="0"/>
        <w:spacing w:line="360" w:lineRule="auto"/>
        <w:ind w:firstLine="42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1.1有下列情形之一，合同一方可以解除合同：</w:t>
      </w:r>
    </w:p>
    <w:p w14:paraId="5541D9C7">
      <w:pPr>
        <w:widowControl w:val="0"/>
        <w:spacing w:line="360" w:lineRule="auto"/>
        <w:ind w:firstLine="42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1.1.1 因不可抗力致使不能实现合同目的，未受不可抗力影响的一方有权解除合同；</w:t>
      </w:r>
    </w:p>
    <w:p w14:paraId="20E35120">
      <w:pPr>
        <w:widowControl w:val="0"/>
        <w:spacing w:line="360" w:lineRule="auto"/>
        <w:ind w:firstLine="42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1.1.2 因合同一方违约导致合同不能履行或已无实际履行意义等，另一方有权解除合同。</w:t>
      </w:r>
    </w:p>
    <w:p w14:paraId="2722EF71">
      <w:pPr>
        <w:widowControl w:val="0"/>
        <w:spacing w:line="360" w:lineRule="auto"/>
        <w:ind w:firstLine="42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1.1.3 除已有约定外，有权解除合同的一方，可在违约事实或不可抗力发生之后书面通知对方以主张解除合同，合同在书面通知到达对方时解除。</w:t>
      </w:r>
    </w:p>
    <w:p w14:paraId="5AB65897">
      <w:pPr>
        <w:widowControl w:val="0"/>
        <w:spacing w:line="360" w:lineRule="auto"/>
        <w:ind w:firstLine="42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1.1.4 乙方提供的服务无法达到甲方要求，拒不整改或整改后仍无法达到甲方的服务要求的，甲方有权直接解除本合同并不予支付任何款项及不予退还履约保证金。</w:t>
      </w:r>
    </w:p>
    <w:p w14:paraId="3583EC85">
      <w:pPr>
        <w:widowControl w:val="0"/>
        <w:spacing w:line="360" w:lineRule="auto"/>
        <w:ind w:firstLine="42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1.1.5 如各类原因导致本合同提前终止的，在甲方重新获得安保管理服务前，乙方应无条件无偿向甲方继续提供安保管理服务直至完成更替。</w:t>
      </w:r>
    </w:p>
    <w:p w14:paraId="74CFD63D">
      <w:pPr>
        <w:widowControl w:val="0"/>
        <w:spacing w:line="360" w:lineRule="auto"/>
        <w:ind w:firstLine="42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2、合同的转让</w:t>
      </w:r>
    </w:p>
    <w:p w14:paraId="75E361D8">
      <w:pPr>
        <w:widowControl w:val="0"/>
        <w:spacing w:line="360" w:lineRule="auto"/>
        <w:ind w:firstLine="42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合同的部分和全部都不得转让、分包或委托第三人完成，如有属严重违约，甲方有权直接解除本合同并不予支付任何款项及不予退还履约保证金。</w:t>
      </w:r>
    </w:p>
    <w:p w14:paraId="1FB34F2E">
      <w:pPr>
        <w:widowControl w:val="0"/>
        <w:spacing w:line="360" w:lineRule="auto"/>
        <w:jc w:val="both"/>
        <w:rPr>
          <w:rFonts w:hint="default"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八、合同的生效</w:t>
      </w:r>
    </w:p>
    <w:p w14:paraId="6BB7EF63">
      <w:pPr>
        <w:spacing w:line="360" w:lineRule="auto"/>
        <w:ind w:firstLine="420"/>
        <w:rPr>
          <w:rFonts w:hint="default" w:ascii="宋体" w:hAnsi="宋体" w:eastAsia="宋体" w:cs="宋体"/>
          <w:color w:val="auto"/>
          <w:kern w:val="0"/>
          <w:szCs w:val="21"/>
          <w:highlight w:val="none"/>
        </w:rPr>
      </w:pPr>
      <w:r>
        <w:rPr>
          <w:rFonts w:hint="default" w:ascii="宋体" w:hAnsi="宋体" w:eastAsia="宋体" w:cs="宋体"/>
          <w:color w:val="auto"/>
          <w:kern w:val="0"/>
          <w:szCs w:val="21"/>
          <w:highlight w:val="none"/>
        </w:rPr>
        <w:t>合同经招标代理机构加盖骑缝章，甲乙双方代表签字（或盖章）并加盖公章（或合同章）后生效，生效合同甲方在合同签订后2个工作日内上传</w:t>
      </w:r>
      <w:r>
        <w:rPr>
          <w:rFonts w:hint="eastAsia" w:ascii="宋体" w:hAnsi="宋体" w:cs="宋体"/>
          <w:color w:val="auto"/>
          <w:kern w:val="0"/>
          <w:szCs w:val="21"/>
          <w:highlight w:val="none"/>
          <w:lang w:val="en-US" w:eastAsia="zh-CN"/>
        </w:rPr>
        <w:t>苏采云</w:t>
      </w:r>
      <w:r>
        <w:rPr>
          <w:rFonts w:hint="default" w:ascii="宋体" w:hAnsi="宋体" w:eastAsia="宋体" w:cs="宋体"/>
          <w:color w:val="auto"/>
          <w:kern w:val="0"/>
          <w:szCs w:val="21"/>
          <w:highlight w:val="none"/>
        </w:rPr>
        <w:t>系统网上公示。</w:t>
      </w:r>
    </w:p>
    <w:p w14:paraId="03223FC8">
      <w:pPr>
        <w:spacing w:line="360" w:lineRule="auto"/>
        <w:rPr>
          <w:rFonts w:hint="default"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八、附则</w:t>
      </w:r>
    </w:p>
    <w:p w14:paraId="2D52EFAC">
      <w:pPr>
        <w:spacing w:line="360" w:lineRule="auto"/>
        <w:ind w:firstLine="42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1、合同份数</w:t>
      </w:r>
    </w:p>
    <w:p w14:paraId="6E054E68">
      <w:pPr>
        <w:spacing w:line="360" w:lineRule="auto"/>
        <w:ind w:firstLine="42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本合同一式</w:t>
      </w:r>
      <w:r>
        <w:rPr>
          <w:rFonts w:hint="eastAsia" w:ascii="宋体" w:hAnsi="宋体" w:eastAsia="宋体" w:cs="宋体"/>
          <w:color w:val="auto"/>
          <w:kern w:val="0"/>
          <w:szCs w:val="21"/>
          <w:highlight w:val="none"/>
          <w:lang w:val="en-US" w:eastAsia="zh-CN"/>
        </w:rPr>
        <w:t>五</w:t>
      </w:r>
      <w:r>
        <w:rPr>
          <w:rFonts w:hint="eastAsia" w:ascii="宋体" w:hAnsi="宋体" w:eastAsia="宋体" w:cs="宋体"/>
          <w:color w:val="auto"/>
          <w:kern w:val="0"/>
          <w:szCs w:val="21"/>
          <w:highlight w:val="none"/>
        </w:rPr>
        <w:t>份，甲方</w:t>
      </w:r>
      <w:r>
        <w:rPr>
          <w:rFonts w:hint="eastAsia" w:ascii="宋体" w:hAnsi="宋体" w:eastAsia="宋体" w:cs="宋体"/>
          <w:color w:val="auto"/>
          <w:kern w:val="0"/>
          <w:szCs w:val="21"/>
          <w:highlight w:val="none"/>
          <w:lang w:val="en-US" w:eastAsia="zh-CN"/>
        </w:rPr>
        <w:t>两</w:t>
      </w:r>
      <w:r>
        <w:rPr>
          <w:rFonts w:hint="eastAsia" w:ascii="宋体" w:hAnsi="宋体" w:eastAsia="宋体" w:cs="宋体"/>
          <w:color w:val="auto"/>
          <w:kern w:val="0"/>
          <w:szCs w:val="21"/>
          <w:highlight w:val="none"/>
        </w:rPr>
        <w:t>份，乙方</w:t>
      </w:r>
      <w:r>
        <w:rPr>
          <w:rFonts w:hint="eastAsia" w:ascii="宋体" w:hAnsi="宋体" w:eastAsia="宋体" w:cs="宋体"/>
          <w:color w:val="auto"/>
          <w:kern w:val="0"/>
          <w:szCs w:val="21"/>
          <w:highlight w:val="none"/>
          <w:lang w:val="en-US" w:eastAsia="zh-CN"/>
        </w:rPr>
        <w:t>两</w:t>
      </w:r>
      <w:r>
        <w:rPr>
          <w:rFonts w:hint="eastAsia" w:ascii="宋体" w:hAnsi="宋体" w:eastAsia="宋体" w:cs="宋体"/>
          <w:color w:val="auto"/>
          <w:kern w:val="0"/>
          <w:szCs w:val="21"/>
          <w:highlight w:val="none"/>
        </w:rPr>
        <w:t>份，采购代理机构一份。</w:t>
      </w:r>
    </w:p>
    <w:p w14:paraId="7A212A2B">
      <w:pPr>
        <w:tabs>
          <w:tab w:val="left" w:pos="0"/>
        </w:tabs>
        <w:spacing w:line="360" w:lineRule="auto"/>
        <w:ind w:firstLine="42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2、甲乙双方在履行合同过程中发生争议的，由双方协商解决，协商不成的，提交甲方所在地人民法院管辖。</w:t>
      </w:r>
    </w:p>
    <w:p w14:paraId="25FD8794">
      <w:pPr>
        <w:tabs>
          <w:tab w:val="left" w:pos="0"/>
        </w:tabs>
        <w:spacing w:line="360" w:lineRule="auto"/>
        <w:ind w:firstLine="42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3、未尽事宜</w:t>
      </w:r>
    </w:p>
    <w:p w14:paraId="2118526B">
      <w:pPr>
        <w:tabs>
          <w:tab w:val="left" w:pos="0"/>
        </w:tabs>
        <w:spacing w:line="360" w:lineRule="auto"/>
        <w:ind w:firstLine="420"/>
        <w:rPr>
          <w:rFonts w:hint="default" w:ascii="Times New Roman" w:hAnsi="Times New Roman" w:eastAsia="宋体" w:cs="Times New Roman"/>
          <w:color w:val="auto"/>
          <w:kern w:val="0"/>
          <w:szCs w:val="21"/>
          <w:highlight w:val="none"/>
        </w:rPr>
      </w:pPr>
      <w:r>
        <w:rPr>
          <w:rFonts w:hint="eastAsia" w:ascii="宋体" w:hAnsi="宋体" w:eastAsia="宋体" w:cs="宋体"/>
          <w:color w:val="auto"/>
          <w:kern w:val="0"/>
          <w:szCs w:val="21"/>
          <w:highlight w:val="none"/>
        </w:rPr>
        <w:t>本合同未尽事宜应</w:t>
      </w:r>
      <w:r>
        <w:rPr>
          <w:rFonts w:hint="eastAsia" w:ascii="宋体" w:hAnsi="宋体" w:eastAsia="宋体" w:cs="宋体"/>
          <w:color w:val="auto"/>
          <w:kern w:val="0"/>
          <w:szCs w:val="21"/>
          <w:highlight w:val="none"/>
          <w:lang w:val="en-US" w:eastAsia="zh-CN"/>
        </w:rPr>
        <w:t>参照</w:t>
      </w:r>
      <w:r>
        <w:rPr>
          <w:rFonts w:hint="eastAsia" w:ascii="宋体" w:hAnsi="宋体" w:eastAsia="宋体" w:cs="宋体"/>
          <w:color w:val="auto"/>
          <w:kern w:val="0"/>
          <w:szCs w:val="21"/>
          <w:highlight w:val="none"/>
        </w:rPr>
        <w:t>《中华人民共和国民法典》、《中华人民共和国政府采购法》以及其同相关法律、法规之规定解释。</w:t>
      </w:r>
    </w:p>
    <w:p w14:paraId="01C86F33">
      <w:pPr>
        <w:spacing w:line="360" w:lineRule="auto"/>
        <w:rPr>
          <w:rFonts w:hint="eastAsia" w:ascii="Times New Roman" w:hAnsi="宋体" w:eastAsia="宋体" w:cs="宋体"/>
          <w:b/>
          <w:bCs/>
          <w:color w:val="auto"/>
          <w:sz w:val="21"/>
          <w:szCs w:val="21"/>
          <w:highlight w:val="none"/>
          <w:lang w:val="en-US" w:eastAsia="zh-CN"/>
        </w:rPr>
      </w:pPr>
      <w:r>
        <w:rPr>
          <w:rFonts w:hint="eastAsia" w:ascii="Times New Roman" w:hAnsi="宋体" w:eastAsia="宋体" w:cs="宋体"/>
          <w:b/>
          <w:bCs/>
          <w:color w:val="auto"/>
          <w:sz w:val="21"/>
          <w:szCs w:val="21"/>
          <w:highlight w:val="none"/>
          <w:lang w:val="en-US" w:eastAsia="zh-CN"/>
        </w:rPr>
        <w:t>附件1：《</w:t>
      </w:r>
      <w:r>
        <w:rPr>
          <w:rFonts w:hint="eastAsia" w:hAnsi="宋体" w:cs="宋体"/>
          <w:b/>
          <w:bCs/>
          <w:color w:val="auto"/>
          <w:sz w:val="21"/>
          <w:szCs w:val="21"/>
          <w:highlight w:val="none"/>
          <w:lang w:val="en-US" w:eastAsia="zh-CN"/>
        </w:rPr>
        <w:t>保安服务</w:t>
      </w:r>
      <w:r>
        <w:rPr>
          <w:rFonts w:hint="eastAsia" w:ascii="Times New Roman" w:hAnsi="宋体" w:eastAsia="宋体" w:cs="宋体"/>
          <w:b/>
          <w:bCs/>
          <w:color w:val="auto"/>
          <w:sz w:val="21"/>
          <w:szCs w:val="21"/>
          <w:highlight w:val="none"/>
          <w:lang w:val="en-US" w:eastAsia="zh-CN"/>
        </w:rPr>
        <w:t>考核表》</w:t>
      </w:r>
    </w:p>
    <w:p w14:paraId="2C3DD566">
      <w:pPr>
        <w:spacing w:line="360" w:lineRule="auto"/>
        <w:rPr>
          <w:rFonts w:hint="eastAsia" w:ascii="Times New Roman" w:hAnsi="宋体" w:eastAsia="宋体" w:cs="宋体"/>
          <w:b/>
          <w:bCs/>
          <w:color w:val="auto"/>
          <w:sz w:val="21"/>
          <w:szCs w:val="21"/>
          <w:highlight w:val="none"/>
          <w:lang w:val="en-US" w:eastAsia="zh-CN"/>
        </w:rPr>
      </w:pPr>
      <w:r>
        <w:rPr>
          <w:rFonts w:hint="eastAsia" w:ascii="Times New Roman" w:hAnsi="宋体" w:eastAsia="宋体" w:cs="宋体"/>
          <w:b/>
          <w:bCs/>
          <w:color w:val="auto"/>
          <w:sz w:val="21"/>
          <w:szCs w:val="21"/>
          <w:highlight w:val="none"/>
          <w:lang w:val="en-US" w:eastAsia="zh-CN"/>
        </w:rPr>
        <w:t>附件2：《验收方案》</w:t>
      </w:r>
    </w:p>
    <w:p w14:paraId="3A39A20A">
      <w:pPr>
        <w:pStyle w:val="10"/>
        <w:keepNext w:val="0"/>
        <w:keepLines w:val="0"/>
        <w:pageBreakBefore w:val="0"/>
        <w:kinsoku/>
        <w:wordWrap/>
        <w:overflowPunct/>
        <w:topLinePunct w:val="0"/>
        <w:autoSpaceDE/>
        <w:autoSpaceDN/>
        <w:bidi w:val="0"/>
        <w:spacing w:line="360" w:lineRule="auto"/>
        <w:textAlignment w:val="auto"/>
        <w:rPr>
          <w:rFonts w:ascii="宋体" w:hAnsi="宋体"/>
          <w:color w:val="auto"/>
          <w:sz w:val="21"/>
          <w:szCs w:val="21"/>
          <w:highlight w:val="none"/>
        </w:rPr>
      </w:pPr>
      <w:r>
        <w:rPr>
          <w:rFonts w:ascii="宋体" w:hAnsi="宋体"/>
          <w:color w:val="auto"/>
          <w:sz w:val="21"/>
          <w:szCs w:val="21"/>
          <w:highlight w:val="none"/>
        </w:rPr>
        <w:t>（以下为签章页，无正文）</w:t>
      </w:r>
    </w:p>
    <w:p w14:paraId="7ACA7E93">
      <w:pPr>
        <w:widowControl/>
        <w:jc w:val="left"/>
        <w:rPr>
          <w:rFonts w:ascii="宋体" w:hAnsi="宋体"/>
          <w:color w:val="auto"/>
          <w:sz w:val="21"/>
          <w:szCs w:val="21"/>
          <w:highlight w:val="none"/>
        </w:rPr>
      </w:pPr>
    </w:p>
    <w:p w14:paraId="65180497">
      <w:pP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br w:type="page"/>
      </w:r>
    </w:p>
    <w:p w14:paraId="05999E79">
      <w:pPr>
        <w:jc w:val="left"/>
        <w:rPr>
          <w:rFonts w:hint="eastAsia" w:eastAsia="宋体" w:cs="Times New Roman"/>
          <w:b/>
          <w:bCs/>
          <w:color w:val="auto"/>
          <w:szCs w:val="21"/>
          <w:highlight w:val="none"/>
          <w:lang w:val="en-US" w:eastAsia="zh-CN"/>
        </w:rPr>
      </w:pPr>
      <w:r>
        <w:rPr>
          <w:rFonts w:hint="eastAsia" w:eastAsia="宋体" w:cs="Times New Roman"/>
          <w:b/>
          <w:bCs/>
          <w:color w:val="auto"/>
          <w:szCs w:val="21"/>
          <w:highlight w:val="none"/>
          <w:lang w:val="en-US" w:eastAsia="zh-CN"/>
        </w:rPr>
        <w:t>附件1：</w:t>
      </w:r>
    </w:p>
    <w:p w14:paraId="2C9CB598">
      <w:pPr>
        <w:jc w:val="center"/>
        <w:rPr>
          <w:rStyle w:val="30"/>
          <w:rFonts w:hint="eastAsia" w:ascii="宋体" w:hAnsi="宋体" w:eastAsia="宋体" w:cs="宋体"/>
          <w:b/>
          <w:color w:val="auto"/>
          <w:kern w:val="0"/>
          <w:sz w:val="44"/>
          <w:szCs w:val="44"/>
          <w:highlight w:val="none"/>
          <w:shd w:val="clear" w:color="auto" w:fill="FDFDFE"/>
          <w:lang w:bidi="ar"/>
        </w:rPr>
      </w:pPr>
      <w:r>
        <w:rPr>
          <w:rStyle w:val="30"/>
          <w:rFonts w:hint="eastAsia" w:ascii="宋体" w:hAnsi="宋体" w:eastAsia="宋体" w:cs="宋体"/>
          <w:b/>
          <w:color w:val="auto"/>
          <w:kern w:val="0"/>
          <w:sz w:val="44"/>
          <w:szCs w:val="44"/>
          <w:highlight w:val="none"/>
          <w:shd w:val="clear" w:color="auto" w:fill="FDFDFE"/>
          <w:lang w:val="en-US" w:eastAsia="zh-CN" w:bidi="ar"/>
        </w:rPr>
        <w:t xml:space="preserve"> </w:t>
      </w:r>
      <w:r>
        <w:rPr>
          <w:rStyle w:val="30"/>
          <w:rFonts w:hint="eastAsia" w:ascii="宋体" w:hAnsi="宋体" w:cs="宋体"/>
          <w:b/>
          <w:color w:val="auto"/>
          <w:kern w:val="0"/>
          <w:sz w:val="44"/>
          <w:szCs w:val="44"/>
          <w:highlight w:val="none"/>
          <w:shd w:val="clear" w:color="auto" w:fill="FDFDFE"/>
          <w:lang w:eastAsia="zh-CN" w:bidi="ar"/>
        </w:rPr>
        <w:t>保安服务</w:t>
      </w:r>
      <w:r>
        <w:rPr>
          <w:rStyle w:val="30"/>
          <w:rFonts w:hint="eastAsia" w:ascii="宋体" w:hAnsi="宋体" w:eastAsia="宋体" w:cs="宋体"/>
          <w:b/>
          <w:color w:val="auto"/>
          <w:kern w:val="0"/>
          <w:sz w:val="44"/>
          <w:szCs w:val="44"/>
          <w:highlight w:val="none"/>
          <w:shd w:val="clear" w:color="auto" w:fill="FDFDFE"/>
          <w:lang w:bidi="ar"/>
        </w:rPr>
        <w:t>考核表</w:t>
      </w:r>
    </w:p>
    <w:p w14:paraId="37509B6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30"/>
          <w:rFonts w:hint="eastAsia" w:ascii="宋体" w:hAnsi="宋体" w:eastAsia="宋体" w:cs="宋体"/>
          <w:b/>
          <w:color w:val="auto"/>
          <w:kern w:val="0"/>
          <w:sz w:val="44"/>
          <w:szCs w:val="44"/>
          <w:highlight w:val="none"/>
          <w:shd w:val="clear" w:color="auto" w:fill="FDFDFE"/>
          <w:lang w:bidi="ar"/>
        </w:rPr>
      </w:pPr>
    </w:p>
    <w:p w14:paraId="590CD494">
      <w:pPr>
        <w:pStyle w:val="13"/>
        <w:tabs>
          <w:tab w:val="left" w:pos="6720"/>
        </w:tabs>
        <w:jc w:val="right"/>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    </w:t>
      </w:r>
      <w:r>
        <w:rPr>
          <w:rFonts w:hint="eastAsia" w:asciiTheme="minorEastAsia" w:hAnsiTheme="minorEastAsia" w:eastAsiaTheme="minorEastAsia" w:cstheme="minorEastAsia"/>
          <w:b w:val="0"/>
          <w:bCs w:val="0"/>
          <w:color w:val="auto"/>
          <w:sz w:val="21"/>
          <w:szCs w:val="21"/>
          <w:highlight w:val="none"/>
        </w:rPr>
        <w:t>日期：      年</w:t>
      </w:r>
      <w:r>
        <w:rPr>
          <w:rFonts w:hint="eastAsia" w:asciiTheme="minorEastAsia" w:hAnsiTheme="minorEastAsia" w:eastAsiaTheme="minorEastAsia" w:cstheme="minorEastAsia"/>
          <w:b w:val="0"/>
          <w:bCs w:val="0"/>
          <w:color w:val="auto"/>
          <w:sz w:val="21"/>
          <w:szCs w:val="21"/>
          <w:highlight w:val="none"/>
          <w:lang w:val="en-US" w:eastAsia="zh-CN"/>
        </w:rPr>
        <w:t xml:space="preserve">   </w:t>
      </w:r>
      <w:r>
        <w:rPr>
          <w:rFonts w:hint="eastAsia" w:asciiTheme="minorEastAsia" w:hAnsiTheme="minorEastAsia" w:eastAsiaTheme="minorEastAsia" w:cstheme="minorEastAsia"/>
          <w:b w:val="0"/>
          <w:bCs w:val="0"/>
          <w:color w:val="auto"/>
          <w:sz w:val="21"/>
          <w:szCs w:val="21"/>
          <w:highlight w:val="none"/>
        </w:rPr>
        <w:t>月</w:t>
      </w:r>
      <w:r>
        <w:rPr>
          <w:rFonts w:hint="eastAsia" w:asciiTheme="minorEastAsia" w:hAnsiTheme="minorEastAsia" w:eastAsiaTheme="minorEastAsia" w:cstheme="minorEastAsia"/>
          <w:b w:val="0"/>
          <w:bCs w:val="0"/>
          <w:color w:val="auto"/>
          <w:sz w:val="21"/>
          <w:szCs w:val="21"/>
          <w:highlight w:val="none"/>
          <w:lang w:val="en-US" w:eastAsia="zh-CN"/>
        </w:rPr>
        <w:t xml:space="preserve">   </w:t>
      </w:r>
      <w:r>
        <w:rPr>
          <w:rFonts w:hint="eastAsia" w:asciiTheme="minorEastAsia" w:hAnsiTheme="minorEastAsia" w:eastAsiaTheme="minorEastAsia" w:cstheme="minorEastAsia"/>
          <w:b w:val="0"/>
          <w:bCs w:val="0"/>
          <w:color w:val="auto"/>
          <w:sz w:val="21"/>
          <w:szCs w:val="21"/>
          <w:highlight w:val="none"/>
        </w:rPr>
        <w:t>日</w:t>
      </w:r>
    </w:p>
    <w:tbl>
      <w:tblPr>
        <w:tblStyle w:val="27"/>
        <w:tblpPr w:leftFromText="180" w:rightFromText="180" w:vertAnchor="text" w:horzAnchor="page" w:tblpX="985" w:tblpY="301"/>
        <w:tblOverlap w:val="never"/>
        <w:tblW w:w="102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610"/>
        <w:gridCol w:w="960"/>
        <w:gridCol w:w="6645"/>
      </w:tblGrid>
      <w:tr w14:paraId="73D80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215"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2327D56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一、人员配置与管理（25分）</w:t>
            </w:r>
          </w:p>
        </w:tc>
      </w:tr>
      <w:tr w14:paraId="2B0CE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auto" w:sz="4" w:space="0"/>
              <w:left w:val="single" w:color="000000" w:sz="4" w:space="0"/>
              <w:bottom w:val="single" w:color="000000" w:sz="4" w:space="0"/>
              <w:right w:val="single" w:color="000000" w:sz="4" w:space="0"/>
            </w:tcBorders>
            <w:shd w:val="clear" w:color="auto" w:fill="auto"/>
            <w:vAlign w:val="center"/>
          </w:tcPr>
          <w:p w14:paraId="5AF17E2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指标</w:t>
            </w:r>
          </w:p>
        </w:tc>
        <w:tc>
          <w:tcPr>
            <w:tcW w:w="960" w:type="dxa"/>
            <w:tcBorders>
              <w:top w:val="single" w:color="auto" w:sz="4" w:space="0"/>
              <w:left w:val="single" w:color="000000" w:sz="4" w:space="0"/>
              <w:bottom w:val="single" w:color="000000" w:sz="4" w:space="0"/>
              <w:right w:val="single" w:color="000000" w:sz="4" w:space="0"/>
            </w:tcBorders>
            <w:shd w:val="clear" w:color="auto" w:fill="auto"/>
            <w:vAlign w:val="center"/>
          </w:tcPr>
          <w:p w14:paraId="74B6A22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分值</w:t>
            </w:r>
          </w:p>
        </w:tc>
        <w:tc>
          <w:tcPr>
            <w:tcW w:w="6645" w:type="dxa"/>
            <w:tcBorders>
              <w:top w:val="single" w:color="auto" w:sz="4" w:space="0"/>
              <w:left w:val="single" w:color="000000" w:sz="4" w:space="0"/>
              <w:bottom w:val="single" w:color="000000" w:sz="4" w:space="0"/>
              <w:right w:val="single" w:color="000000" w:sz="4" w:space="0"/>
            </w:tcBorders>
            <w:shd w:val="clear" w:color="auto" w:fill="auto"/>
            <w:vAlign w:val="center"/>
          </w:tcPr>
          <w:p w14:paraId="096F234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评分标准</w:t>
            </w:r>
          </w:p>
        </w:tc>
      </w:tr>
      <w:tr w14:paraId="28558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6DDBCC3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人员资质达标率</w:t>
            </w:r>
          </w:p>
        </w:tc>
        <w:tc>
          <w:tcPr>
            <w:tcW w:w="96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4F9ECA9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5</w:t>
            </w:r>
          </w:p>
        </w:tc>
        <w:tc>
          <w:tcPr>
            <w:tcW w:w="6645"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5B965D5E">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val="0"/>
                <w:bCs w:val="0"/>
                <w:i w:val="0"/>
                <w:iCs w:val="0"/>
                <w:color w:val="auto"/>
                <w:sz w:val="21"/>
                <w:szCs w:val="21"/>
                <w:highlight w:val="none"/>
                <w:u w:val="none"/>
                <w:lang w:val="en-US"/>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安保人员持证上岗率100%、50周岁以下占总人数比重不低于20%，每缺1人扣1分，可倒扣。</w:t>
            </w:r>
          </w:p>
        </w:tc>
      </w:tr>
      <w:tr w14:paraId="02B23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15D931A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在岗纪律</w:t>
            </w:r>
          </w:p>
        </w:tc>
        <w:tc>
          <w:tcPr>
            <w:tcW w:w="96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42A061A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5</w:t>
            </w:r>
          </w:p>
        </w:tc>
        <w:tc>
          <w:tcPr>
            <w:tcW w:w="6645"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1253C488">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b w:val="0"/>
                <w:bCs w:val="0"/>
                <w:i w:val="0"/>
                <w:iCs w:val="0"/>
                <w:color w:val="auto"/>
                <w:sz w:val="21"/>
                <w:szCs w:val="21"/>
                <w:highlight w:val="none"/>
                <w:u w:val="none"/>
                <w:lang w:val="en-US"/>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迟到、早退每次扣1分；缺岗、睡岗等情况，每次扣2分；在岗玩手机/吸烟等违规每次扣3分，可倒扣。</w:t>
            </w:r>
          </w:p>
        </w:tc>
      </w:tr>
      <w:tr w14:paraId="0B672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693F872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人员培训覆盖率</w:t>
            </w:r>
          </w:p>
        </w:tc>
        <w:tc>
          <w:tcPr>
            <w:tcW w:w="96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4DD5FA1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5</w:t>
            </w:r>
          </w:p>
        </w:tc>
        <w:tc>
          <w:tcPr>
            <w:tcW w:w="6645"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29E23FC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每季度至少1次安全培训，参与率≥95%，每低5%扣1分</w:t>
            </w:r>
          </w:p>
        </w:tc>
      </w:tr>
      <w:tr w14:paraId="01FB1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auto" w:sz="4" w:space="0"/>
              <w:right w:val="single" w:color="000000" w:sz="4" w:space="0"/>
            </w:tcBorders>
            <w:shd w:val="clear" w:color="auto" w:fill="FDFDFE"/>
            <w:vAlign w:val="center"/>
          </w:tcPr>
          <w:p w14:paraId="549F691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应急响应能力</w:t>
            </w:r>
          </w:p>
        </w:tc>
        <w:tc>
          <w:tcPr>
            <w:tcW w:w="960" w:type="dxa"/>
            <w:tcBorders>
              <w:top w:val="single" w:color="000000" w:sz="4" w:space="0"/>
              <w:left w:val="single" w:color="000000" w:sz="4" w:space="0"/>
              <w:bottom w:val="single" w:color="auto" w:sz="4" w:space="0"/>
              <w:right w:val="single" w:color="000000" w:sz="4" w:space="0"/>
            </w:tcBorders>
            <w:shd w:val="clear" w:color="auto" w:fill="FDFDFE"/>
            <w:vAlign w:val="center"/>
          </w:tcPr>
          <w:p w14:paraId="3FA1A190">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b w:val="0"/>
                <w:bCs w:val="0"/>
                <w:i w:val="0"/>
                <w:iCs w:val="0"/>
                <w:color w:val="auto"/>
                <w:sz w:val="21"/>
                <w:szCs w:val="21"/>
                <w:highlight w:val="none"/>
                <w:u w:val="none"/>
                <w:lang w:val="en-US"/>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10</w:t>
            </w:r>
          </w:p>
        </w:tc>
        <w:tc>
          <w:tcPr>
            <w:tcW w:w="6645" w:type="dxa"/>
            <w:tcBorders>
              <w:top w:val="single" w:color="000000" w:sz="4" w:space="0"/>
              <w:left w:val="single" w:color="000000" w:sz="4" w:space="0"/>
              <w:bottom w:val="single" w:color="auto" w:sz="4" w:space="0"/>
              <w:right w:val="single" w:color="000000" w:sz="4" w:space="0"/>
            </w:tcBorders>
            <w:shd w:val="clear" w:color="auto" w:fill="FDFDFE"/>
            <w:vAlign w:val="center"/>
          </w:tcPr>
          <w:p w14:paraId="2E90B31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如医患纠纷、围堵等突发事件或</w:t>
            </w:r>
            <w:r>
              <w:rPr>
                <w:color w:val="auto"/>
                <w:szCs w:val="21"/>
                <w:highlight w:val="none"/>
              </w:rPr>
              <w:t>干扰医疗秩序的行为</w:t>
            </w:r>
            <w:r>
              <w:rPr>
                <w:rFonts w:hint="eastAsia"/>
                <w:color w:val="auto"/>
                <w:szCs w:val="21"/>
                <w:highlight w:val="none"/>
                <w:lang w:eastAsia="zh-CN"/>
              </w:rPr>
              <w:t>，</w:t>
            </w: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3分钟内到岗处理，五分钟内至少到岗4人，不合格每人次扣2分</w:t>
            </w:r>
          </w:p>
        </w:tc>
      </w:tr>
      <w:tr w14:paraId="22B73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215"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0866B78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val="0"/>
                <w:bCs w:val="0"/>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二、装备与设施管理（15分）</w:t>
            </w:r>
          </w:p>
        </w:tc>
      </w:tr>
      <w:tr w14:paraId="77825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auto" w:sz="4" w:space="0"/>
              <w:left w:val="single" w:color="000000" w:sz="4" w:space="0"/>
              <w:bottom w:val="single" w:color="000000" w:sz="4" w:space="0"/>
              <w:right w:val="single" w:color="000000" w:sz="4" w:space="0"/>
            </w:tcBorders>
            <w:shd w:val="clear" w:color="auto" w:fill="auto"/>
            <w:vAlign w:val="center"/>
          </w:tcPr>
          <w:p w14:paraId="08F67C6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指标</w:t>
            </w:r>
          </w:p>
        </w:tc>
        <w:tc>
          <w:tcPr>
            <w:tcW w:w="960" w:type="dxa"/>
            <w:tcBorders>
              <w:top w:val="single" w:color="auto" w:sz="4" w:space="0"/>
              <w:left w:val="single" w:color="000000" w:sz="4" w:space="0"/>
              <w:bottom w:val="single" w:color="000000" w:sz="4" w:space="0"/>
              <w:right w:val="single" w:color="000000" w:sz="4" w:space="0"/>
            </w:tcBorders>
            <w:shd w:val="clear" w:color="auto" w:fill="auto"/>
            <w:vAlign w:val="center"/>
          </w:tcPr>
          <w:p w14:paraId="1F79258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分值</w:t>
            </w:r>
          </w:p>
        </w:tc>
        <w:tc>
          <w:tcPr>
            <w:tcW w:w="6645" w:type="dxa"/>
            <w:tcBorders>
              <w:top w:val="single" w:color="auto" w:sz="4" w:space="0"/>
              <w:left w:val="single" w:color="000000" w:sz="4" w:space="0"/>
              <w:bottom w:val="single" w:color="000000" w:sz="4" w:space="0"/>
              <w:right w:val="single" w:color="000000" w:sz="4" w:space="0"/>
            </w:tcBorders>
            <w:shd w:val="clear" w:color="auto" w:fill="auto"/>
            <w:vAlign w:val="center"/>
          </w:tcPr>
          <w:p w14:paraId="56EF274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评分标准</w:t>
            </w:r>
          </w:p>
        </w:tc>
      </w:tr>
      <w:tr w14:paraId="557C4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628FFD9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安防设备完好率</w:t>
            </w:r>
          </w:p>
        </w:tc>
        <w:tc>
          <w:tcPr>
            <w:tcW w:w="96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76BB4B9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6645"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02D1414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监控、报警、门禁系统正常运行，每处故障未及时报备扣1分</w:t>
            </w:r>
          </w:p>
        </w:tc>
      </w:tr>
      <w:tr w14:paraId="33E71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7C107E8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装备维护记录</w:t>
            </w:r>
          </w:p>
        </w:tc>
        <w:tc>
          <w:tcPr>
            <w:tcW w:w="96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610A593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w:t>
            </w:r>
          </w:p>
        </w:tc>
        <w:tc>
          <w:tcPr>
            <w:tcW w:w="6645"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46B9FFF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每日装备检查记录完整，缺1次扣1分；装备丢失/损坏未报备每次扣2分</w:t>
            </w:r>
          </w:p>
        </w:tc>
      </w:tr>
      <w:tr w14:paraId="0A302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3F1E6B7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安防器材合规性</w:t>
            </w:r>
          </w:p>
        </w:tc>
        <w:tc>
          <w:tcPr>
            <w:tcW w:w="96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7824C25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6645"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2D62187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防护器械定期检查，遗失或损坏未更换每件扣1分</w:t>
            </w:r>
          </w:p>
        </w:tc>
      </w:tr>
      <w:tr w14:paraId="00534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auto" w:sz="4" w:space="0"/>
              <w:right w:val="single" w:color="000000" w:sz="4" w:space="0"/>
            </w:tcBorders>
            <w:shd w:val="clear" w:color="auto" w:fill="FDFDFE"/>
            <w:vAlign w:val="center"/>
          </w:tcPr>
          <w:p w14:paraId="5239360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通讯设备畅通率</w:t>
            </w:r>
          </w:p>
        </w:tc>
        <w:tc>
          <w:tcPr>
            <w:tcW w:w="960" w:type="dxa"/>
            <w:tcBorders>
              <w:top w:val="single" w:color="000000" w:sz="4" w:space="0"/>
              <w:left w:val="single" w:color="000000" w:sz="4" w:space="0"/>
              <w:bottom w:val="single" w:color="auto" w:sz="4" w:space="0"/>
              <w:right w:val="single" w:color="000000" w:sz="4" w:space="0"/>
            </w:tcBorders>
            <w:shd w:val="clear" w:color="auto" w:fill="FDFDFE"/>
            <w:vAlign w:val="center"/>
          </w:tcPr>
          <w:p w14:paraId="218C526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6645" w:type="dxa"/>
            <w:tcBorders>
              <w:top w:val="single" w:color="000000" w:sz="4" w:space="0"/>
              <w:left w:val="single" w:color="000000" w:sz="4" w:space="0"/>
              <w:bottom w:val="single" w:color="auto" w:sz="4" w:space="0"/>
              <w:right w:val="single" w:color="000000" w:sz="4" w:space="0"/>
            </w:tcBorders>
            <w:shd w:val="clear" w:color="auto" w:fill="FDFDFE"/>
            <w:vAlign w:val="center"/>
          </w:tcPr>
          <w:p w14:paraId="6706114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对讲机、电话等通讯工具畅通，故障未及时修理每次扣1分</w:t>
            </w:r>
          </w:p>
        </w:tc>
      </w:tr>
      <w:tr w14:paraId="7AD16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215"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5584800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三、门禁与出入管理（20分）</w:t>
            </w:r>
          </w:p>
        </w:tc>
      </w:tr>
      <w:tr w14:paraId="02488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auto" w:sz="4" w:space="0"/>
              <w:left w:val="single" w:color="000000" w:sz="4" w:space="0"/>
              <w:bottom w:val="single" w:color="000000" w:sz="4" w:space="0"/>
              <w:right w:val="single" w:color="000000" w:sz="4" w:space="0"/>
            </w:tcBorders>
            <w:shd w:val="clear" w:color="auto" w:fill="auto"/>
            <w:vAlign w:val="center"/>
          </w:tcPr>
          <w:p w14:paraId="5668CD6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指标</w:t>
            </w:r>
          </w:p>
        </w:tc>
        <w:tc>
          <w:tcPr>
            <w:tcW w:w="960" w:type="dxa"/>
            <w:tcBorders>
              <w:top w:val="single" w:color="auto" w:sz="4" w:space="0"/>
              <w:left w:val="single" w:color="000000" w:sz="4" w:space="0"/>
              <w:bottom w:val="single" w:color="000000" w:sz="4" w:space="0"/>
              <w:right w:val="single" w:color="000000" w:sz="4" w:space="0"/>
            </w:tcBorders>
            <w:shd w:val="clear" w:color="auto" w:fill="auto"/>
            <w:vAlign w:val="center"/>
          </w:tcPr>
          <w:p w14:paraId="3F6A648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分值</w:t>
            </w:r>
          </w:p>
        </w:tc>
        <w:tc>
          <w:tcPr>
            <w:tcW w:w="6645" w:type="dxa"/>
            <w:tcBorders>
              <w:top w:val="single" w:color="auto" w:sz="4" w:space="0"/>
              <w:left w:val="single" w:color="000000" w:sz="4" w:space="0"/>
              <w:bottom w:val="single" w:color="000000" w:sz="4" w:space="0"/>
              <w:right w:val="single" w:color="000000" w:sz="4" w:space="0"/>
            </w:tcBorders>
            <w:shd w:val="clear" w:color="auto" w:fill="auto"/>
            <w:vAlign w:val="center"/>
          </w:tcPr>
          <w:p w14:paraId="4473FE7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评分标准</w:t>
            </w:r>
          </w:p>
        </w:tc>
      </w:tr>
      <w:tr w14:paraId="06E0E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0BF341A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访客登记准确率</w:t>
            </w:r>
          </w:p>
        </w:tc>
        <w:tc>
          <w:tcPr>
            <w:tcW w:w="96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5A66903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6645"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6D9BECF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登记信息完整率100%，每缺1项扣0.5分；发现可疑人员未盘问扣1分</w:t>
            </w:r>
          </w:p>
        </w:tc>
      </w:tr>
      <w:tr w14:paraId="71F38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15F33D5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车辆管理规范</w:t>
            </w:r>
          </w:p>
        </w:tc>
        <w:tc>
          <w:tcPr>
            <w:tcW w:w="96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12953AC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6645"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634F717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车辆进出登记、停车引导规范，违规停车未处理每次扣1分</w:t>
            </w:r>
          </w:p>
        </w:tc>
      </w:tr>
      <w:tr w14:paraId="0EB5E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15F2553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重点区域管控</w:t>
            </w:r>
          </w:p>
        </w:tc>
        <w:tc>
          <w:tcPr>
            <w:tcW w:w="96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6C3AD3F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6645"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24E3EEB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急诊等区域24小时值守，缺岗1次扣5分</w:t>
            </w:r>
          </w:p>
        </w:tc>
      </w:tr>
      <w:tr w14:paraId="56757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auto" w:sz="4" w:space="0"/>
              <w:right w:val="single" w:color="000000" w:sz="4" w:space="0"/>
            </w:tcBorders>
            <w:shd w:val="clear" w:color="auto" w:fill="FDFDFE"/>
            <w:vAlign w:val="center"/>
          </w:tcPr>
          <w:p w14:paraId="73DE8BD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禁止物品拦截率</w:t>
            </w:r>
          </w:p>
        </w:tc>
        <w:tc>
          <w:tcPr>
            <w:tcW w:w="960" w:type="dxa"/>
            <w:tcBorders>
              <w:top w:val="single" w:color="000000" w:sz="4" w:space="0"/>
              <w:left w:val="single" w:color="000000" w:sz="4" w:space="0"/>
              <w:bottom w:val="single" w:color="auto" w:sz="4" w:space="0"/>
              <w:right w:val="single" w:color="000000" w:sz="4" w:space="0"/>
            </w:tcBorders>
            <w:shd w:val="clear" w:color="auto" w:fill="FDFDFE"/>
            <w:vAlign w:val="center"/>
          </w:tcPr>
          <w:p w14:paraId="5B6B21C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6645" w:type="dxa"/>
            <w:tcBorders>
              <w:top w:val="single" w:color="000000" w:sz="4" w:space="0"/>
              <w:left w:val="single" w:color="000000" w:sz="4" w:space="0"/>
              <w:bottom w:val="single" w:color="auto" w:sz="4" w:space="0"/>
              <w:right w:val="single" w:color="000000" w:sz="4" w:space="0"/>
            </w:tcBorders>
            <w:shd w:val="clear" w:color="auto" w:fill="FDFDFE"/>
            <w:vAlign w:val="center"/>
          </w:tcPr>
          <w:p w14:paraId="559A77C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危险品（刀具、易燃物等）进入院区，每次扣3分</w:t>
            </w:r>
          </w:p>
        </w:tc>
      </w:tr>
      <w:tr w14:paraId="448B5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215"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1C2F1AD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四、巡逻与防控（20分）</w:t>
            </w:r>
          </w:p>
        </w:tc>
      </w:tr>
      <w:tr w14:paraId="0BB5C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auto" w:sz="4" w:space="0"/>
              <w:left w:val="single" w:color="000000" w:sz="4" w:space="0"/>
              <w:bottom w:val="single" w:color="000000" w:sz="4" w:space="0"/>
              <w:right w:val="single" w:color="000000" w:sz="4" w:space="0"/>
            </w:tcBorders>
            <w:shd w:val="clear" w:color="auto" w:fill="auto"/>
            <w:vAlign w:val="center"/>
          </w:tcPr>
          <w:p w14:paraId="64C39F4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指标</w:t>
            </w:r>
          </w:p>
        </w:tc>
        <w:tc>
          <w:tcPr>
            <w:tcW w:w="960" w:type="dxa"/>
            <w:tcBorders>
              <w:top w:val="single" w:color="auto" w:sz="4" w:space="0"/>
              <w:left w:val="single" w:color="000000" w:sz="4" w:space="0"/>
              <w:bottom w:val="single" w:color="000000" w:sz="4" w:space="0"/>
              <w:right w:val="single" w:color="000000" w:sz="4" w:space="0"/>
            </w:tcBorders>
            <w:shd w:val="clear" w:color="auto" w:fill="auto"/>
            <w:vAlign w:val="center"/>
          </w:tcPr>
          <w:p w14:paraId="7E9C9C1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分值</w:t>
            </w:r>
          </w:p>
        </w:tc>
        <w:tc>
          <w:tcPr>
            <w:tcW w:w="6645" w:type="dxa"/>
            <w:tcBorders>
              <w:top w:val="single" w:color="auto" w:sz="4" w:space="0"/>
              <w:left w:val="single" w:color="000000" w:sz="4" w:space="0"/>
              <w:bottom w:val="single" w:color="000000" w:sz="4" w:space="0"/>
              <w:right w:val="single" w:color="000000" w:sz="4" w:space="0"/>
            </w:tcBorders>
            <w:shd w:val="clear" w:color="auto" w:fill="auto"/>
            <w:vAlign w:val="center"/>
          </w:tcPr>
          <w:p w14:paraId="1724082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评分标准</w:t>
            </w:r>
          </w:p>
        </w:tc>
      </w:tr>
      <w:tr w14:paraId="7488B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46FD506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巡逻频次达标率</w:t>
            </w:r>
          </w:p>
        </w:tc>
        <w:tc>
          <w:tcPr>
            <w:tcW w:w="96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2204F98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6645"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00DAA1E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按规定路线/时间巡逻，每少1次扣1分；夜间巡逻缺岗扣6分</w:t>
            </w:r>
          </w:p>
        </w:tc>
      </w:tr>
      <w:tr w14:paraId="49ACA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148842F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隐患排查能力</w:t>
            </w:r>
          </w:p>
        </w:tc>
        <w:tc>
          <w:tcPr>
            <w:tcW w:w="96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01D897A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6645"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7773A75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发现安全隐患（如消防通道堵塞）未及时上报，每次扣1分</w:t>
            </w:r>
          </w:p>
        </w:tc>
      </w:tr>
      <w:tr w14:paraId="06835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02D56DA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纠纷处置规范</w:t>
            </w:r>
          </w:p>
        </w:tc>
        <w:tc>
          <w:tcPr>
            <w:tcW w:w="96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12A3B28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6645"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5F8AFA2B">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iCs w:val="0"/>
                <w:color w:val="auto"/>
                <w:sz w:val="21"/>
                <w:szCs w:val="21"/>
                <w:highlight w:val="none"/>
                <w:u w:val="none"/>
                <w:lang w:val="en-US"/>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医患冲突现场及时劝阻并上报，未采取处置措施的每次扣5分，因处置不当引发的有效投诉每次扣1分。</w:t>
            </w:r>
          </w:p>
        </w:tc>
      </w:tr>
      <w:tr w14:paraId="015C8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auto" w:sz="4" w:space="0"/>
              <w:right w:val="single" w:color="000000" w:sz="4" w:space="0"/>
            </w:tcBorders>
            <w:shd w:val="clear" w:color="auto" w:fill="FDFDFE"/>
            <w:vAlign w:val="center"/>
          </w:tcPr>
          <w:p w14:paraId="347443B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应急演练参与率</w:t>
            </w:r>
          </w:p>
        </w:tc>
        <w:tc>
          <w:tcPr>
            <w:tcW w:w="960" w:type="dxa"/>
            <w:tcBorders>
              <w:top w:val="single" w:color="000000" w:sz="4" w:space="0"/>
              <w:left w:val="single" w:color="000000" w:sz="4" w:space="0"/>
              <w:bottom w:val="single" w:color="auto" w:sz="4" w:space="0"/>
              <w:right w:val="single" w:color="000000" w:sz="4" w:space="0"/>
            </w:tcBorders>
            <w:shd w:val="clear" w:color="auto" w:fill="FDFDFE"/>
            <w:vAlign w:val="center"/>
          </w:tcPr>
          <w:p w14:paraId="65961F2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6645" w:type="dxa"/>
            <w:tcBorders>
              <w:top w:val="single" w:color="000000" w:sz="4" w:space="0"/>
              <w:left w:val="single" w:color="000000" w:sz="4" w:space="0"/>
              <w:bottom w:val="single" w:color="auto" w:sz="4" w:space="0"/>
              <w:right w:val="single" w:color="000000" w:sz="4" w:space="0"/>
            </w:tcBorders>
            <w:shd w:val="clear" w:color="auto" w:fill="FDFDFE"/>
            <w:vAlign w:val="center"/>
          </w:tcPr>
          <w:p w14:paraId="1C13FA7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每季度参与消防、反恐演练，缺1次扣5分</w:t>
            </w:r>
          </w:p>
        </w:tc>
      </w:tr>
      <w:tr w14:paraId="354B3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215"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7BAAD01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五、服务规范与态度（10分）</w:t>
            </w:r>
          </w:p>
        </w:tc>
      </w:tr>
      <w:tr w14:paraId="4CA87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610" w:type="dxa"/>
            <w:tcBorders>
              <w:top w:val="single" w:color="auto" w:sz="4" w:space="0"/>
              <w:left w:val="single" w:color="000000" w:sz="4" w:space="0"/>
              <w:bottom w:val="single" w:color="000000" w:sz="4" w:space="0"/>
              <w:right w:val="single" w:color="000000" w:sz="4" w:space="0"/>
            </w:tcBorders>
            <w:shd w:val="clear" w:color="auto" w:fill="auto"/>
            <w:vAlign w:val="center"/>
          </w:tcPr>
          <w:p w14:paraId="2C86936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指标</w:t>
            </w:r>
          </w:p>
        </w:tc>
        <w:tc>
          <w:tcPr>
            <w:tcW w:w="960" w:type="dxa"/>
            <w:tcBorders>
              <w:top w:val="single" w:color="auto" w:sz="4" w:space="0"/>
              <w:left w:val="single" w:color="000000" w:sz="4" w:space="0"/>
              <w:bottom w:val="single" w:color="000000" w:sz="4" w:space="0"/>
              <w:right w:val="single" w:color="000000" w:sz="4" w:space="0"/>
            </w:tcBorders>
            <w:shd w:val="clear" w:color="auto" w:fill="auto"/>
            <w:vAlign w:val="center"/>
          </w:tcPr>
          <w:p w14:paraId="7C50C0C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分值</w:t>
            </w:r>
          </w:p>
        </w:tc>
        <w:tc>
          <w:tcPr>
            <w:tcW w:w="6645" w:type="dxa"/>
            <w:tcBorders>
              <w:top w:val="single" w:color="auto" w:sz="4" w:space="0"/>
              <w:left w:val="single" w:color="000000" w:sz="4" w:space="0"/>
              <w:bottom w:val="single" w:color="000000" w:sz="4" w:space="0"/>
              <w:right w:val="single" w:color="000000" w:sz="4" w:space="0"/>
            </w:tcBorders>
            <w:shd w:val="clear" w:color="auto" w:fill="auto"/>
            <w:vAlign w:val="center"/>
          </w:tcPr>
          <w:p w14:paraId="66EAC99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评分标准</w:t>
            </w:r>
          </w:p>
        </w:tc>
      </w:tr>
      <w:tr w14:paraId="715FD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0AAB546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仪容仪表合规率</w:t>
            </w:r>
          </w:p>
        </w:tc>
        <w:tc>
          <w:tcPr>
            <w:tcW w:w="96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2458A5B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6645"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55A622A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着装规范、佩戴工牌，每发现1人次不合规扣1分</w:t>
            </w:r>
          </w:p>
        </w:tc>
      </w:tr>
      <w:tr w14:paraId="60F6D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525E729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服务态度评价</w:t>
            </w:r>
          </w:p>
        </w:tc>
        <w:tc>
          <w:tcPr>
            <w:tcW w:w="96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241148E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w:t>
            </w:r>
          </w:p>
        </w:tc>
        <w:tc>
          <w:tcPr>
            <w:tcW w:w="6645"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34899A2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患者/职工满意度调查≥90%，每低5%扣1分；被有效投诉每次扣2分</w:t>
            </w:r>
          </w:p>
        </w:tc>
      </w:tr>
      <w:tr w14:paraId="77602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auto" w:sz="4" w:space="0"/>
              <w:right w:val="single" w:color="000000" w:sz="4" w:space="0"/>
            </w:tcBorders>
            <w:shd w:val="clear" w:color="auto" w:fill="FDFDFE"/>
            <w:vAlign w:val="center"/>
          </w:tcPr>
          <w:p w14:paraId="2603108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沟通协作能力</w:t>
            </w:r>
          </w:p>
        </w:tc>
        <w:tc>
          <w:tcPr>
            <w:tcW w:w="960" w:type="dxa"/>
            <w:tcBorders>
              <w:top w:val="single" w:color="000000" w:sz="4" w:space="0"/>
              <w:left w:val="single" w:color="000000" w:sz="4" w:space="0"/>
              <w:bottom w:val="single" w:color="auto" w:sz="4" w:space="0"/>
              <w:right w:val="single" w:color="000000" w:sz="4" w:space="0"/>
            </w:tcBorders>
            <w:shd w:val="clear" w:color="auto" w:fill="FDFDFE"/>
            <w:vAlign w:val="center"/>
          </w:tcPr>
          <w:p w14:paraId="2CE379D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6645" w:type="dxa"/>
            <w:tcBorders>
              <w:top w:val="single" w:color="000000" w:sz="4" w:space="0"/>
              <w:left w:val="single" w:color="000000" w:sz="4" w:space="0"/>
              <w:bottom w:val="single" w:color="auto" w:sz="4" w:space="0"/>
              <w:right w:val="single" w:color="000000" w:sz="4" w:space="0"/>
            </w:tcBorders>
            <w:shd w:val="clear" w:color="auto" w:fill="FDFDFE"/>
            <w:vAlign w:val="center"/>
          </w:tcPr>
          <w:p w14:paraId="04D1CF0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与医护人员、其他部门配合顺畅，推诿扯皮每次扣1分</w:t>
            </w:r>
          </w:p>
        </w:tc>
      </w:tr>
      <w:tr w14:paraId="36742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215"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4262996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六、制度执行与记录（10分）</w:t>
            </w:r>
          </w:p>
        </w:tc>
      </w:tr>
      <w:tr w14:paraId="74092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auto" w:sz="4" w:space="0"/>
              <w:left w:val="single" w:color="000000" w:sz="4" w:space="0"/>
              <w:bottom w:val="single" w:color="000000" w:sz="4" w:space="0"/>
              <w:right w:val="single" w:color="000000" w:sz="4" w:space="0"/>
            </w:tcBorders>
            <w:shd w:val="clear" w:color="auto" w:fill="auto"/>
            <w:vAlign w:val="center"/>
          </w:tcPr>
          <w:p w14:paraId="482244E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指标</w:t>
            </w:r>
          </w:p>
        </w:tc>
        <w:tc>
          <w:tcPr>
            <w:tcW w:w="960" w:type="dxa"/>
            <w:tcBorders>
              <w:top w:val="single" w:color="auto" w:sz="4" w:space="0"/>
              <w:left w:val="single" w:color="000000" w:sz="4" w:space="0"/>
              <w:bottom w:val="single" w:color="000000" w:sz="4" w:space="0"/>
              <w:right w:val="single" w:color="000000" w:sz="4" w:space="0"/>
            </w:tcBorders>
            <w:shd w:val="clear" w:color="auto" w:fill="auto"/>
            <w:vAlign w:val="center"/>
          </w:tcPr>
          <w:p w14:paraId="4796309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分值</w:t>
            </w:r>
          </w:p>
        </w:tc>
        <w:tc>
          <w:tcPr>
            <w:tcW w:w="6645" w:type="dxa"/>
            <w:tcBorders>
              <w:top w:val="single" w:color="auto" w:sz="4" w:space="0"/>
              <w:left w:val="single" w:color="000000" w:sz="4" w:space="0"/>
              <w:bottom w:val="single" w:color="000000" w:sz="4" w:space="0"/>
              <w:right w:val="single" w:color="000000" w:sz="4" w:space="0"/>
            </w:tcBorders>
            <w:shd w:val="clear" w:color="auto" w:fill="auto"/>
            <w:vAlign w:val="center"/>
          </w:tcPr>
          <w:p w14:paraId="3615EC4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评分标准</w:t>
            </w:r>
          </w:p>
        </w:tc>
      </w:tr>
      <w:tr w14:paraId="17964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1E6E887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值班记录完整性</w:t>
            </w:r>
          </w:p>
        </w:tc>
        <w:tc>
          <w:tcPr>
            <w:tcW w:w="96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29F6446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w:t>
            </w:r>
          </w:p>
        </w:tc>
        <w:tc>
          <w:tcPr>
            <w:tcW w:w="6645"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14B3794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交接班记录、巡逻记录缺失或错误，每次扣1分</w:t>
            </w:r>
          </w:p>
        </w:tc>
      </w:tr>
      <w:tr w14:paraId="057F1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478E969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违纪行为发生率</w:t>
            </w:r>
          </w:p>
        </w:tc>
        <w:tc>
          <w:tcPr>
            <w:tcW w:w="960"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4E4B6FC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6645" w:type="dxa"/>
            <w:tcBorders>
              <w:top w:val="single" w:color="000000" w:sz="4" w:space="0"/>
              <w:left w:val="single" w:color="000000" w:sz="4" w:space="0"/>
              <w:bottom w:val="single" w:color="000000" w:sz="4" w:space="0"/>
              <w:right w:val="single" w:color="000000" w:sz="4" w:space="0"/>
            </w:tcBorders>
            <w:shd w:val="clear" w:color="auto" w:fill="FDFDFE"/>
            <w:vAlign w:val="center"/>
          </w:tcPr>
          <w:p w14:paraId="35A5342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安保人员发生盗窃、泄露患者隐私等行为，每次扣3分</w:t>
            </w:r>
          </w:p>
        </w:tc>
      </w:tr>
      <w:tr w14:paraId="1B756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610" w:type="dxa"/>
            <w:tcBorders>
              <w:top w:val="single" w:color="000000" w:sz="4" w:space="0"/>
              <w:left w:val="single" w:color="000000" w:sz="4" w:space="0"/>
              <w:bottom w:val="single" w:color="auto" w:sz="4" w:space="0"/>
              <w:right w:val="single" w:color="000000" w:sz="4" w:space="0"/>
            </w:tcBorders>
            <w:shd w:val="clear" w:color="auto" w:fill="FDFDFE"/>
            <w:vAlign w:val="center"/>
          </w:tcPr>
          <w:p w14:paraId="5BAC67B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应急预案完善度</w:t>
            </w:r>
          </w:p>
        </w:tc>
        <w:tc>
          <w:tcPr>
            <w:tcW w:w="960" w:type="dxa"/>
            <w:tcBorders>
              <w:top w:val="single" w:color="000000" w:sz="4" w:space="0"/>
              <w:left w:val="single" w:color="000000" w:sz="4" w:space="0"/>
              <w:bottom w:val="single" w:color="auto" w:sz="4" w:space="0"/>
              <w:right w:val="single" w:color="000000" w:sz="4" w:space="0"/>
            </w:tcBorders>
            <w:shd w:val="clear" w:color="auto" w:fill="FDFDFE"/>
            <w:vAlign w:val="center"/>
          </w:tcPr>
          <w:p w14:paraId="4A02FAC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6645" w:type="dxa"/>
            <w:tcBorders>
              <w:top w:val="single" w:color="000000" w:sz="4" w:space="0"/>
              <w:left w:val="single" w:color="000000" w:sz="4" w:space="0"/>
              <w:bottom w:val="single" w:color="auto" w:sz="4" w:space="0"/>
              <w:right w:val="single" w:color="000000" w:sz="4" w:space="0"/>
            </w:tcBorders>
            <w:shd w:val="clear" w:color="auto" w:fill="FDFDFE"/>
            <w:vAlign w:val="center"/>
          </w:tcPr>
          <w:p w14:paraId="6E3B755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应急预案缺失或未更新，每项扣1分</w:t>
            </w:r>
          </w:p>
        </w:tc>
      </w:tr>
      <w:tr w14:paraId="5277D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215"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58840A5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七、加分项（10分）</w:t>
            </w:r>
          </w:p>
        </w:tc>
      </w:tr>
      <w:tr w14:paraId="4FF97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215"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1639D0A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1.成功预防或处置重大安全事件（如医闹、火灾），每次加5分；</w:t>
            </w:r>
          </w:p>
        </w:tc>
      </w:tr>
      <w:tr w14:paraId="4A337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215"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663A22A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2.创新安保措施（如智能巡检系统）被采纳，每项加3分；</w:t>
            </w:r>
          </w:p>
        </w:tc>
      </w:tr>
      <w:tr w14:paraId="46C75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215"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6EE16E3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3.获得患者/职工书面表扬，每次加1分。</w:t>
            </w:r>
          </w:p>
        </w:tc>
      </w:tr>
    </w:tbl>
    <w:p w14:paraId="347E82BA">
      <w:pPr>
        <w:spacing w:line="360" w:lineRule="auto"/>
        <w:rPr>
          <w:rFonts w:hint="eastAsia" w:ascii="宋体" w:hAnsi="宋体"/>
          <w:color w:val="auto"/>
          <w:sz w:val="21"/>
          <w:szCs w:val="21"/>
          <w:highlight w:val="none"/>
          <w:lang w:val="en-US" w:eastAsia="zh-CN"/>
        </w:rPr>
      </w:pPr>
      <w:r>
        <w:rPr>
          <w:rFonts w:hint="eastAsia" w:ascii="宋体" w:hAnsi="宋体" w:eastAsia="宋体" w:cs="宋体"/>
          <w:color w:val="auto"/>
          <w:szCs w:val="21"/>
          <w:highlight w:val="none"/>
          <w:lang w:val="en-US" w:eastAsia="zh-CN"/>
        </w:rPr>
        <w:t>注：</w:t>
      </w:r>
      <w:r>
        <w:rPr>
          <w:rFonts w:hint="eastAsia" w:ascii="宋体" w:hAnsi="宋体" w:eastAsia="宋体" w:cs="宋体"/>
          <w:color w:val="auto"/>
          <w:szCs w:val="21"/>
          <w:highlight w:val="none"/>
        </w:rPr>
        <w:t>每月考核结果与服务费用挂钩，考核扣0-10分，服务费全额给付；如考核扣11-20分，在10分基础上每多扣1分扣除服务费1000元；考核扣21-30分；在20分基础上每多扣1分扣除服务费2000元，并提出书面整改通知。（费用扣除分段累进计算）；考核扣除30分以上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连续两个月扣除超过20分以上的或累积三个月考核扣除超过10分以上的</w:t>
      </w:r>
      <w:r>
        <w:rPr>
          <w:rFonts w:hint="eastAsia" w:ascii="宋体" w:hAnsi="宋体" w:eastAsia="宋体" w:cs="宋体"/>
          <w:color w:val="auto"/>
          <w:szCs w:val="21"/>
          <w:highlight w:val="none"/>
        </w:rPr>
        <w:t>无条件终止合同且无须支付任何费用及不予退还履约保证金。</w:t>
      </w:r>
      <w:r>
        <w:rPr>
          <w:rFonts w:hint="eastAsia" w:ascii="宋体" w:hAnsi="宋体"/>
          <w:color w:val="auto"/>
          <w:sz w:val="21"/>
          <w:szCs w:val="21"/>
          <w:highlight w:val="none"/>
          <w:lang w:val="en-US" w:eastAsia="zh-CN"/>
        </w:rPr>
        <w:br w:type="page"/>
      </w:r>
    </w:p>
    <w:p w14:paraId="2434BDCC">
      <w:pPr>
        <w:pStyle w:val="23"/>
        <w:numPr>
          <w:ilvl w:val="0"/>
          <w:numId w:val="0"/>
        </w:numPr>
        <w:spacing w:after="312" w:afterLines="100"/>
        <w:jc w:val="left"/>
        <w:outlineLvl w:val="0"/>
        <w:rPr>
          <w:rFonts w:hint="eastAsia" w:ascii="宋体" w:hAnsi="宋体" w:eastAsia="宋体" w:cs="Times New Roman"/>
          <w:b/>
          <w:bCs/>
          <w:color w:val="auto"/>
          <w:kern w:val="2"/>
          <w:sz w:val="21"/>
          <w:szCs w:val="21"/>
          <w:highlight w:val="none"/>
          <w:lang w:val="en-US" w:eastAsia="zh-CN" w:bidi="ar-SA"/>
        </w:rPr>
      </w:pPr>
      <w:r>
        <w:rPr>
          <w:rFonts w:hint="eastAsia"/>
          <w:b/>
          <w:bCs/>
          <w:color w:val="auto"/>
          <w:sz w:val="21"/>
          <w:szCs w:val="21"/>
          <w:highlight w:val="none"/>
          <w:lang w:val="en-US" w:eastAsia="zh-CN"/>
        </w:rPr>
        <w:t>附件：验收方案</w:t>
      </w:r>
    </w:p>
    <w:p w14:paraId="0A16ADD7">
      <w:pPr>
        <w:widowControl/>
        <w:spacing w:line="24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验收方案</w:t>
      </w:r>
    </w:p>
    <w:p w14:paraId="6E333B73">
      <w:pPr>
        <w:widowControl/>
        <w:spacing w:line="360" w:lineRule="auto"/>
        <w:ind w:firstLine="422" w:firstLineChars="200"/>
        <w:jc w:val="left"/>
        <w:rPr>
          <w:rFonts w:hint="default" w:ascii="宋体" w:hAnsi="宋体" w:eastAsia="宋体" w:cs="Times New Roman"/>
          <w:color w:val="auto"/>
          <w:kern w:val="0"/>
          <w:szCs w:val="21"/>
          <w:highlight w:val="none"/>
          <w:lang w:val="en-US" w:eastAsia="zh-CN"/>
        </w:rPr>
      </w:pPr>
      <w:r>
        <w:rPr>
          <w:rFonts w:hint="eastAsia" w:ascii="宋体" w:hAnsi="宋体" w:eastAsia="宋体" w:cs="Times New Roman"/>
          <w:b/>
          <w:bCs/>
          <w:color w:val="auto"/>
          <w:kern w:val="0"/>
          <w:szCs w:val="21"/>
          <w:highlight w:val="none"/>
        </w:rPr>
        <w:t>一、</w:t>
      </w:r>
      <w:r>
        <w:rPr>
          <w:rFonts w:hint="eastAsia" w:ascii="宋体" w:hAnsi="宋体" w:eastAsia="宋体" w:cs="Times New Roman"/>
          <w:b/>
          <w:bCs/>
          <w:color w:val="auto"/>
          <w:kern w:val="0"/>
          <w:szCs w:val="21"/>
          <w:highlight w:val="none"/>
          <w:lang w:val="en-US" w:eastAsia="zh-CN"/>
        </w:rPr>
        <w:t>验收</w:t>
      </w:r>
      <w:r>
        <w:rPr>
          <w:rFonts w:hint="eastAsia" w:ascii="宋体" w:hAnsi="宋体" w:eastAsia="宋体" w:cs="Times New Roman"/>
          <w:b/>
          <w:bCs/>
          <w:color w:val="auto"/>
          <w:kern w:val="0"/>
          <w:szCs w:val="21"/>
          <w:highlight w:val="none"/>
        </w:rPr>
        <w:t>单位：</w:t>
      </w:r>
      <w:r>
        <w:rPr>
          <w:rFonts w:hint="eastAsia" w:ascii="宋体" w:hAnsi="宋体" w:eastAsia="宋体" w:cs="Times New Roman"/>
          <w:b/>
          <w:bCs/>
          <w:color w:val="auto"/>
          <w:kern w:val="0"/>
          <w:szCs w:val="21"/>
          <w:highlight w:val="none"/>
          <w:lang w:val="en-US" w:eastAsia="zh-CN"/>
        </w:rPr>
        <w:t xml:space="preserve">   </w:t>
      </w:r>
    </w:p>
    <w:p w14:paraId="5264B553">
      <w:pPr>
        <w:widowControl/>
        <w:spacing w:line="360" w:lineRule="auto"/>
        <w:ind w:firstLine="422" w:firstLineChars="200"/>
        <w:jc w:val="left"/>
        <w:rPr>
          <w:rFonts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二、验收时间：</w:t>
      </w:r>
      <w:r>
        <w:rPr>
          <w:rFonts w:hint="eastAsia" w:ascii="宋体" w:hAnsi="宋体" w:eastAsia="宋体" w:cs="Times New Roman"/>
          <w:b/>
          <w:bCs/>
          <w:color w:val="auto"/>
          <w:kern w:val="0"/>
          <w:szCs w:val="21"/>
          <w:highlight w:val="none"/>
          <w:lang w:val="en-US" w:eastAsia="zh-CN"/>
        </w:rPr>
        <w:t xml:space="preserve">   </w:t>
      </w:r>
      <w:r>
        <w:rPr>
          <w:rFonts w:hint="eastAsia" w:ascii="宋体" w:hAnsi="宋体" w:eastAsia="宋体" w:cs="Times New Roman"/>
          <w:b/>
          <w:bCs/>
          <w:color w:val="auto"/>
          <w:kern w:val="0"/>
          <w:szCs w:val="21"/>
          <w:highlight w:val="none"/>
        </w:rPr>
        <w:t xml:space="preserve">年 </w:t>
      </w:r>
      <w:r>
        <w:rPr>
          <w:rFonts w:hint="eastAsia" w:ascii="宋体" w:hAnsi="宋体" w:eastAsia="宋体" w:cs="Times New Roman"/>
          <w:b/>
          <w:bCs/>
          <w:color w:val="auto"/>
          <w:kern w:val="0"/>
          <w:szCs w:val="21"/>
          <w:highlight w:val="none"/>
          <w:lang w:val="en-US" w:eastAsia="zh-CN"/>
        </w:rPr>
        <w:t xml:space="preserve">   </w:t>
      </w:r>
      <w:r>
        <w:rPr>
          <w:rFonts w:hint="eastAsia" w:ascii="宋体" w:hAnsi="宋体" w:eastAsia="宋体" w:cs="Times New Roman"/>
          <w:b/>
          <w:bCs/>
          <w:color w:val="auto"/>
          <w:kern w:val="0"/>
          <w:szCs w:val="21"/>
          <w:highlight w:val="none"/>
        </w:rPr>
        <w:t xml:space="preserve"> 月</w:t>
      </w:r>
    </w:p>
    <w:p w14:paraId="7E7B54FF">
      <w:pPr>
        <w:widowControl/>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验收内容、标准及程序</w:t>
      </w:r>
    </w:p>
    <w:p w14:paraId="4A9DF461">
      <w:pPr>
        <w:widowControl/>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验收工作由</w:t>
      </w:r>
      <w:r>
        <w:rPr>
          <w:rFonts w:hint="eastAsia" w:ascii="宋体" w:hAnsi="宋体" w:eastAsia="宋体" w:cs="Times New Roman"/>
          <w:color w:val="auto"/>
          <w:kern w:val="0"/>
          <w:szCs w:val="21"/>
          <w:highlight w:val="none"/>
          <w:u w:val="single"/>
        </w:rPr>
        <w:t>采购单位，成交单位</w:t>
      </w:r>
      <w:r>
        <w:rPr>
          <w:rFonts w:hint="eastAsia" w:ascii="宋体" w:hAnsi="宋体" w:eastAsia="宋体" w:cs="Times New Roman"/>
          <w:color w:val="auto"/>
          <w:kern w:val="0"/>
          <w:szCs w:val="21"/>
          <w:highlight w:val="none"/>
        </w:rPr>
        <w:t>参加。验收工作依据招标文件、采购合同等相关规定和要求执行。</w:t>
      </w:r>
    </w:p>
    <w:tbl>
      <w:tblPr>
        <w:tblStyle w:val="103"/>
        <w:tblW w:w="7918"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93"/>
        <w:gridCol w:w="1860"/>
        <w:gridCol w:w="1845"/>
        <w:gridCol w:w="2220"/>
      </w:tblGrid>
      <w:tr w14:paraId="5EF3A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2" w:hRule="atLeast"/>
        </w:trPr>
        <w:tc>
          <w:tcPr>
            <w:tcW w:w="1993" w:type="dxa"/>
            <w:tcBorders>
              <w:top w:val="single" w:color="auto" w:sz="4" w:space="0"/>
              <w:left w:val="single" w:color="auto" w:sz="4" w:space="0"/>
              <w:bottom w:val="single" w:color="auto" w:sz="4" w:space="0"/>
              <w:right w:val="single" w:color="auto" w:sz="4" w:space="0"/>
            </w:tcBorders>
            <w:noWrap w:val="0"/>
            <w:vAlign w:val="top"/>
          </w:tcPr>
          <w:p w14:paraId="1A0021D2">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pacing w:val="-2"/>
                <w:sz w:val="21"/>
                <w:highlight w:val="none"/>
                <w:lang w:val="en-US" w:eastAsia="zh-CN"/>
              </w:rPr>
            </w:pPr>
          </w:p>
          <w:p w14:paraId="601252C1">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1"/>
                <w:szCs w:val="21"/>
                <w:highlight w:val="none"/>
              </w:rPr>
            </w:pPr>
            <w:r>
              <w:rPr>
                <w:rFonts w:hint="eastAsia" w:ascii="宋体" w:hAnsi="宋体" w:eastAsia="宋体" w:cs="Times New Roman"/>
                <w:color w:val="auto"/>
                <w:kern w:val="0"/>
                <w:szCs w:val="21"/>
                <w:highlight w:val="none"/>
              </w:rPr>
              <w:t>公司营业执照</w:t>
            </w:r>
          </w:p>
        </w:tc>
        <w:tc>
          <w:tcPr>
            <w:tcW w:w="1860" w:type="dxa"/>
            <w:tcBorders>
              <w:top w:val="single" w:color="auto" w:sz="4" w:space="0"/>
              <w:left w:val="single" w:color="auto" w:sz="4" w:space="0"/>
              <w:bottom w:val="single" w:color="auto" w:sz="4" w:space="0"/>
              <w:right w:val="single" w:color="auto" w:sz="4" w:space="0"/>
            </w:tcBorders>
            <w:noWrap w:val="0"/>
            <w:vAlign w:val="top"/>
          </w:tcPr>
          <w:p w14:paraId="7DB255E2">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p>
          <w:p w14:paraId="5C9E7201">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相关资质证书</w:t>
            </w:r>
          </w:p>
        </w:tc>
        <w:tc>
          <w:tcPr>
            <w:tcW w:w="1845" w:type="dxa"/>
            <w:tcBorders>
              <w:top w:val="single" w:color="auto" w:sz="4" w:space="0"/>
              <w:left w:val="single" w:color="auto" w:sz="4" w:space="0"/>
              <w:bottom w:val="single" w:color="auto" w:sz="4" w:space="0"/>
              <w:right w:val="single" w:color="auto" w:sz="4" w:space="0"/>
            </w:tcBorders>
            <w:noWrap w:val="0"/>
            <w:vAlign w:val="top"/>
          </w:tcPr>
          <w:p w14:paraId="4E4B8EF1">
            <w:pPr>
              <w:keepNext w:val="0"/>
              <w:keepLines w:val="0"/>
              <w:suppressLineNumbers w:val="0"/>
              <w:spacing w:before="0" w:beforeAutospacing="0" w:after="0" w:afterAutospacing="0"/>
              <w:ind w:left="0" w:right="0"/>
              <w:jc w:val="center"/>
              <w:rPr>
                <w:rFonts w:hint="default" w:ascii="宋体" w:hAnsi="宋体" w:eastAsia="宋体" w:cs="Times New Roman"/>
                <w:color w:val="auto"/>
                <w:kern w:val="0"/>
                <w:szCs w:val="21"/>
                <w:highlight w:val="none"/>
                <w:lang w:val="en-US" w:eastAsia="zh-CN"/>
              </w:rPr>
            </w:pPr>
          </w:p>
          <w:p w14:paraId="2220686A">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服务人员花名册</w:t>
            </w:r>
          </w:p>
        </w:tc>
        <w:tc>
          <w:tcPr>
            <w:tcW w:w="2220" w:type="dxa"/>
            <w:tcBorders>
              <w:top w:val="single" w:color="auto" w:sz="4" w:space="0"/>
              <w:left w:val="single" w:color="auto" w:sz="4" w:space="0"/>
              <w:bottom w:val="single" w:color="auto" w:sz="4" w:space="0"/>
              <w:right w:val="single" w:color="auto" w:sz="4" w:space="0"/>
            </w:tcBorders>
            <w:noWrap w:val="0"/>
            <w:vAlign w:val="top"/>
          </w:tcPr>
          <w:p w14:paraId="3D15D0C8">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p>
          <w:p w14:paraId="235D8AFD">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服务人员身份证</w:t>
            </w:r>
          </w:p>
        </w:tc>
      </w:tr>
      <w:tr w14:paraId="0DAAD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7" w:hRule="atLeast"/>
        </w:trPr>
        <w:tc>
          <w:tcPr>
            <w:tcW w:w="1993" w:type="dxa"/>
            <w:tcBorders>
              <w:top w:val="single" w:color="auto" w:sz="4" w:space="0"/>
              <w:left w:val="single" w:color="auto" w:sz="4" w:space="0"/>
              <w:bottom w:val="single" w:color="auto" w:sz="4" w:space="0"/>
              <w:right w:val="single" w:color="auto" w:sz="4" w:space="0"/>
            </w:tcBorders>
            <w:noWrap w:val="0"/>
            <w:vAlign w:val="top"/>
          </w:tcPr>
          <w:p w14:paraId="0B71DDE2">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 xml:space="preserve">  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7162CCF3">
            <w:pPr>
              <w:pStyle w:val="104"/>
              <w:keepNext w:val="0"/>
              <w:keepLines w:val="0"/>
              <w:suppressLineNumbers w:val="0"/>
              <w:spacing w:before="201" w:beforeAutospacing="0" w:after="0" w:afterAutospacing="0" w:line="405" w:lineRule="auto"/>
              <w:ind w:left="0" w:right="170"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860" w:type="dxa"/>
            <w:tcBorders>
              <w:top w:val="single" w:color="auto" w:sz="4" w:space="0"/>
              <w:left w:val="single" w:color="auto" w:sz="4" w:space="0"/>
              <w:bottom w:val="single" w:color="auto" w:sz="4" w:space="0"/>
              <w:right w:val="single" w:color="auto" w:sz="4" w:space="0"/>
            </w:tcBorders>
            <w:noWrap w:val="0"/>
            <w:vAlign w:val="top"/>
          </w:tcPr>
          <w:p w14:paraId="50AAC8D8">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24B2624E">
            <w:pPr>
              <w:pStyle w:val="104"/>
              <w:keepNext w:val="0"/>
              <w:keepLines w:val="0"/>
              <w:suppressLineNumbers w:val="0"/>
              <w:spacing w:before="180" w:beforeAutospacing="0" w:after="0" w:afterAutospacing="0" w:line="420" w:lineRule="auto"/>
              <w:ind w:left="0" w:right="349"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845" w:type="dxa"/>
            <w:tcBorders>
              <w:top w:val="single" w:color="auto" w:sz="4" w:space="0"/>
              <w:left w:val="single" w:color="auto" w:sz="4" w:space="0"/>
              <w:bottom w:val="single" w:color="auto" w:sz="4" w:space="0"/>
              <w:right w:val="single" w:color="auto" w:sz="4" w:space="0"/>
            </w:tcBorders>
            <w:noWrap w:val="0"/>
            <w:vAlign w:val="top"/>
          </w:tcPr>
          <w:p w14:paraId="3224EDCF">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1897E326">
            <w:pPr>
              <w:pStyle w:val="104"/>
              <w:keepNext w:val="0"/>
              <w:keepLines w:val="0"/>
              <w:suppressLineNumbers w:val="0"/>
              <w:spacing w:before="180" w:beforeAutospacing="0" w:after="0" w:afterAutospacing="0" w:line="420" w:lineRule="auto"/>
              <w:ind w:left="0" w:right="377"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2220" w:type="dxa"/>
            <w:tcBorders>
              <w:top w:val="single" w:color="auto" w:sz="4" w:space="0"/>
              <w:left w:val="single" w:color="auto" w:sz="4" w:space="0"/>
              <w:bottom w:val="single" w:color="auto" w:sz="4" w:space="0"/>
              <w:right w:val="single" w:color="auto" w:sz="4" w:space="0"/>
            </w:tcBorders>
            <w:noWrap w:val="0"/>
            <w:vAlign w:val="top"/>
          </w:tcPr>
          <w:p w14:paraId="66254F81">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242F506F">
            <w:pPr>
              <w:pStyle w:val="104"/>
              <w:keepNext w:val="0"/>
              <w:keepLines w:val="0"/>
              <w:suppressLineNumbers w:val="0"/>
              <w:spacing w:before="201" w:beforeAutospacing="0" w:after="0" w:afterAutospacing="0" w:line="405" w:lineRule="auto"/>
              <w:ind w:left="0" w:right="166"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r>
    </w:tbl>
    <w:p w14:paraId="26D5EAD9">
      <w:pPr>
        <w:widowControl/>
        <w:numPr>
          <w:ilvl w:val="0"/>
          <w:numId w:val="0"/>
        </w:numPr>
        <w:spacing w:line="360" w:lineRule="auto"/>
        <w:jc w:val="left"/>
        <w:rPr>
          <w:rFonts w:hint="eastAsia" w:ascii="宋体" w:hAnsi="宋体" w:eastAsia="宋体" w:cs="Times New Roman"/>
          <w:color w:val="auto"/>
          <w:kern w:val="0"/>
          <w:szCs w:val="21"/>
          <w:highlight w:val="none"/>
        </w:rPr>
      </w:pPr>
    </w:p>
    <w:p w14:paraId="0C84047E">
      <w:pPr>
        <w:widowControl/>
        <w:spacing w:line="360" w:lineRule="auto"/>
        <w:ind w:firstLine="422" w:firstLineChars="200"/>
        <w:jc w:val="left"/>
        <w:rPr>
          <w:rFonts w:hint="eastAsia" w:ascii="宋体" w:hAnsi="宋体" w:eastAsia="宋体" w:cs="Times New Roman"/>
          <w:b/>
          <w:bCs/>
          <w:color w:val="auto"/>
          <w:kern w:val="0"/>
          <w:szCs w:val="21"/>
          <w:highlight w:val="none"/>
          <w:lang w:eastAsia="zh-CN"/>
        </w:rPr>
      </w:pPr>
      <w:r>
        <w:rPr>
          <w:rFonts w:hint="eastAsia" w:ascii="宋体" w:hAnsi="宋体" w:eastAsia="宋体" w:cs="Times New Roman"/>
          <w:b/>
          <w:bCs/>
          <w:color w:val="auto"/>
          <w:kern w:val="0"/>
          <w:szCs w:val="21"/>
          <w:highlight w:val="none"/>
        </w:rPr>
        <w:t>三、验收标准</w:t>
      </w:r>
      <w:r>
        <w:rPr>
          <w:rFonts w:hint="eastAsia" w:ascii="宋体" w:hAnsi="宋体" w:eastAsia="宋体" w:cs="Times New Roman"/>
          <w:b/>
          <w:bCs/>
          <w:color w:val="auto"/>
          <w:kern w:val="0"/>
          <w:szCs w:val="21"/>
          <w:highlight w:val="none"/>
          <w:lang w:eastAsia="zh-CN"/>
        </w:rPr>
        <w:t>（</w:t>
      </w:r>
      <w:r>
        <w:rPr>
          <w:rFonts w:hint="eastAsia" w:ascii="Times New Roman" w:hAnsi="Times New Roman" w:eastAsia="宋体" w:cs="Times New Roman"/>
          <w:color w:val="auto"/>
          <w:spacing w:val="-1"/>
          <w:sz w:val="21"/>
          <w:szCs w:val="21"/>
          <w:highlight w:val="none"/>
        </w:rPr>
        <w:t>验收内容</w:t>
      </w:r>
      <w:r>
        <w:rPr>
          <w:rFonts w:hint="eastAsia" w:ascii="宋体" w:hAnsi="宋体" w:eastAsia="宋体" w:cs="Times New Roman"/>
          <w:b/>
          <w:bCs/>
          <w:color w:val="auto"/>
          <w:kern w:val="0"/>
          <w:szCs w:val="21"/>
          <w:highlight w:val="none"/>
          <w:lang w:eastAsia="zh-CN"/>
        </w:rPr>
        <w:t>）</w:t>
      </w:r>
    </w:p>
    <w:tbl>
      <w:tblPr>
        <w:tblStyle w:val="103"/>
        <w:tblW w:w="8880"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8"/>
        <w:gridCol w:w="1277"/>
        <w:gridCol w:w="1452"/>
        <w:gridCol w:w="1353"/>
        <w:gridCol w:w="1650"/>
        <w:gridCol w:w="1740"/>
      </w:tblGrid>
      <w:tr w14:paraId="604B3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408" w:type="dxa"/>
            <w:tcBorders>
              <w:top w:val="single" w:color="auto" w:sz="4" w:space="0"/>
              <w:left w:val="single" w:color="auto" w:sz="4" w:space="0"/>
              <w:bottom w:val="single" w:color="auto" w:sz="4" w:space="0"/>
              <w:right w:val="single" w:color="auto" w:sz="4" w:space="0"/>
            </w:tcBorders>
            <w:noWrap w:val="0"/>
            <w:vAlign w:val="top"/>
          </w:tcPr>
          <w:p w14:paraId="36799F0B">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pacing w:val="-2"/>
                <w:sz w:val="21"/>
                <w:highlight w:val="none"/>
                <w:lang w:val="en-US" w:eastAsia="zh-CN"/>
              </w:rPr>
            </w:pPr>
          </w:p>
          <w:p w14:paraId="75F90E58">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pacing w:val="-2"/>
                <w:sz w:val="21"/>
                <w:highlight w:val="none"/>
                <w:lang w:val="en-US" w:eastAsia="zh-CN"/>
              </w:rPr>
              <w:t>服务质量</w:t>
            </w:r>
          </w:p>
        </w:tc>
        <w:tc>
          <w:tcPr>
            <w:tcW w:w="1277" w:type="dxa"/>
            <w:tcBorders>
              <w:top w:val="single" w:color="auto" w:sz="4" w:space="0"/>
              <w:left w:val="single" w:color="auto" w:sz="4" w:space="0"/>
              <w:bottom w:val="single" w:color="auto" w:sz="4" w:space="0"/>
              <w:right w:val="single" w:color="auto" w:sz="4" w:space="0"/>
            </w:tcBorders>
            <w:noWrap w:val="0"/>
            <w:vAlign w:val="top"/>
          </w:tcPr>
          <w:p w14:paraId="284C6A41">
            <w:pPr>
              <w:pStyle w:val="104"/>
              <w:keepNext w:val="0"/>
              <w:keepLines w:val="0"/>
              <w:suppressLineNumbers w:val="0"/>
              <w:spacing w:before="220" w:beforeAutospacing="0" w:after="0" w:afterAutospacing="0" w:line="398" w:lineRule="auto"/>
              <w:ind w:left="0" w:right="17" w:rightChars="0"/>
              <w:jc w:val="center"/>
              <w:rPr>
                <w:rFonts w:cs="Times New Roman"/>
                <w:color w:val="auto"/>
                <w:sz w:val="21"/>
                <w:szCs w:val="21"/>
                <w:highlight w:val="none"/>
              </w:rPr>
            </w:pPr>
            <w:r>
              <w:rPr>
                <w:rFonts w:hint="eastAsia" w:cs="Times New Roman"/>
                <w:color w:val="auto"/>
                <w:spacing w:val="6"/>
                <w:sz w:val="21"/>
                <w:szCs w:val="21"/>
                <w:highlight w:val="none"/>
                <w:lang w:val="en-US" w:eastAsia="zh-CN"/>
              </w:rPr>
              <w:t>服务进度</w:t>
            </w:r>
          </w:p>
        </w:tc>
        <w:tc>
          <w:tcPr>
            <w:tcW w:w="1452" w:type="dxa"/>
            <w:tcBorders>
              <w:top w:val="single" w:color="auto" w:sz="4" w:space="0"/>
              <w:left w:val="single" w:color="auto" w:sz="4" w:space="0"/>
              <w:bottom w:val="single" w:color="auto" w:sz="4" w:space="0"/>
              <w:right w:val="single" w:color="auto" w:sz="4" w:space="0"/>
            </w:tcBorders>
            <w:noWrap w:val="0"/>
            <w:vAlign w:val="top"/>
          </w:tcPr>
          <w:p w14:paraId="363E9B15">
            <w:pPr>
              <w:keepNext w:val="0"/>
              <w:keepLines w:val="0"/>
              <w:suppressLineNumbers w:val="0"/>
              <w:bidi w:val="0"/>
              <w:spacing w:before="0" w:beforeAutospacing="0" w:after="0" w:afterAutospacing="0"/>
              <w:ind w:left="0" w:right="0"/>
              <w:jc w:val="both"/>
              <w:rPr>
                <w:rFonts w:hint="default" w:ascii="Times New Roman" w:hAnsi="Times New Roman" w:eastAsia="宋体" w:cs="Times New Roman"/>
                <w:color w:val="auto"/>
                <w:spacing w:val="-1"/>
                <w:sz w:val="21"/>
                <w:szCs w:val="21"/>
                <w:highlight w:val="none"/>
                <w:lang w:val="en-US" w:eastAsia="zh-CN"/>
              </w:rPr>
            </w:pPr>
          </w:p>
          <w:p w14:paraId="38A0D28F">
            <w:pPr>
              <w:keepNext w:val="0"/>
              <w:keepLines w:val="0"/>
              <w:suppressLineNumbers w:val="0"/>
              <w:bidi w:val="0"/>
              <w:spacing w:before="0" w:beforeAutospacing="0" w:after="0" w:afterAutospacing="0"/>
              <w:ind w:left="0" w:right="0"/>
              <w:jc w:val="center"/>
              <w:rPr>
                <w:rFonts w:ascii="Times New Roman" w:hAnsi="Times New Roman" w:eastAsia="宋体" w:cs="Times New Roman"/>
                <w:color w:val="auto"/>
                <w:sz w:val="21"/>
                <w:szCs w:val="21"/>
                <w:highlight w:val="none"/>
              </w:rPr>
            </w:pPr>
            <w:r>
              <w:rPr>
                <w:rFonts w:hint="eastAsia" w:ascii="Times New Roman" w:hAnsi="Times New Roman" w:eastAsia="宋体" w:cs="Arial"/>
                <w:color w:val="auto"/>
                <w:kern w:val="0"/>
                <w:sz w:val="21"/>
                <w:szCs w:val="21"/>
                <w:highlight w:val="none"/>
                <w:lang w:val="en-US" w:eastAsia="zh-CN" w:bidi="ar-SA"/>
              </w:rPr>
              <w:t>人员、设备 配备情况</w:t>
            </w:r>
          </w:p>
        </w:tc>
        <w:tc>
          <w:tcPr>
            <w:tcW w:w="1353" w:type="dxa"/>
            <w:tcBorders>
              <w:top w:val="single" w:color="auto" w:sz="4" w:space="0"/>
              <w:left w:val="single" w:color="auto" w:sz="4" w:space="0"/>
              <w:bottom w:val="single" w:color="auto" w:sz="4" w:space="0"/>
              <w:right w:val="single" w:color="auto" w:sz="4" w:space="0"/>
            </w:tcBorders>
            <w:noWrap w:val="0"/>
            <w:vAlign w:val="top"/>
          </w:tcPr>
          <w:p w14:paraId="62972E87">
            <w:pPr>
              <w:pStyle w:val="104"/>
              <w:keepNext w:val="0"/>
              <w:keepLines w:val="0"/>
              <w:suppressLineNumbers w:val="0"/>
              <w:spacing w:before="248" w:beforeAutospacing="0" w:after="0" w:afterAutospacing="0"/>
              <w:ind w:left="0" w:right="0"/>
              <w:jc w:val="center"/>
              <w:rPr>
                <w:rFonts w:cs="Times New Roman"/>
                <w:color w:val="auto"/>
                <w:sz w:val="21"/>
                <w:szCs w:val="21"/>
                <w:highlight w:val="none"/>
              </w:rPr>
            </w:pPr>
            <w:r>
              <w:rPr>
                <w:rFonts w:hint="eastAsia" w:cs="Times New Roman"/>
                <w:color w:val="auto"/>
                <w:spacing w:val="-1"/>
                <w:sz w:val="21"/>
                <w:szCs w:val="21"/>
                <w:highlight w:val="none"/>
                <w:lang w:val="en-US" w:eastAsia="zh-CN"/>
              </w:rPr>
              <w:t>行业、安全标准</w:t>
            </w:r>
          </w:p>
        </w:tc>
        <w:tc>
          <w:tcPr>
            <w:tcW w:w="1650" w:type="dxa"/>
            <w:tcBorders>
              <w:top w:val="single" w:color="auto" w:sz="4" w:space="0"/>
              <w:left w:val="single" w:color="auto" w:sz="4" w:space="0"/>
              <w:bottom w:val="single" w:color="auto" w:sz="4" w:space="0"/>
              <w:right w:val="single" w:color="auto" w:sz="4" w:space="0"/>
            </w:tcBorders>
            <w:noWrap w:val="0"/>
            <w:vAlign w:val="top"/>
          </w:tcPr>
          <w:p w14:paraId="66BE089B">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0"/>
                <w:highlight w:val="none"/>
              </w:rPr>
            </w:pPr>
          </w:p>
          <w:p w14:paraId="7297A06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0"/>
                <w:highlight w:val="none"/>
                <w:lang w:val="en-US" w:eastAsia="zh-CN"/>
              </w:rPr>
            </w:pPr>
            <w:r>
              <w:rPr>
                <w:rFonts w:hint="eastAsia" w:ascii="Times New Roman" w:hAnsi="Times New Roman" w:eastAsia="宋体" w:cs="Times New Roman"/>
                <w:color w:val="auto"/>
                <w:spacing w:val="-2"/>
                <w:sz w:val="21"/>
                <w:highlight w:val="none"/>
                <w:lang w:val="en-US" w:eastAsia="zh-CN"/>
              </w:rPr>
              <w:t>项目需求、</w:t>
            </w:r>
            <w:r>
              <w:rPr>
                <w:rFonts w:hint="eastAsia" w:ascii="Times New Roman" w:hAnsi="Times New Roman" w:eastAsia="宋体" w:cs="Times New Roman"/>
                <w:color w:val="auto"/>
                <w:spacing w:val="-1"/>
                <w:sz w:val="21"/>
                <w:szCs w:val="21"/>
                <w:highlight w:val="none"/>
              </w:rPr>
              <w:t>服务承诺</w:t>
            </w:r>
          </w:p>
          <w:p w14:paraId="0D05A255">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noWrap w:val="0"/>
            <w:vAlign w:val="top"/>
          </w:tcPr>
          <w:p w14:paraId="59BB3F7E">
            <w:pPr>
              <w:pStyle w:val="104"/>
              <w:keepNext w:val="0"/>
              <w:keepLines w:val="0"/>
              <w:suppressLineNumbers w:val="0"/>
              <w:spacing w:before="211" w:beforeAutospacing="0" w:after="0" w:afterAutospacing="0"/>
              <w:ind w:left="0" w:right="0"/>
              <w:jc w:val="center"/>
              <w:rPr>
                <w:rFonts w:cs="Times New Roman"/>
                <w:color w:val="auto"/>
                <w:sz w:val="21"/>
                <w:szCs w:val="21"/>
                <w:highlight w:val="none"/>
              </w:rPr>
            </w:pPr>
            <w:r>
              <w:rPr>
                <w:rFonts w:hint="eastAsia" w:cs="Times New Roman"/>
                <w:color w:val="auto"/>
                <w:spacing w:val="-1"/>
                <w:sz w:val="21"/>
                <w:szCs w:val="21"/>
                <w:highlight w:val="none"/>
              </w:rPr>
              <w:t>合同履约</w:t>
            </w:r>
            <w:r>
              <w:rPr>
                <w:rFonts w:hint="eastAsia" w:cs="Times New Roman"/>
                <w:color w:val="auto"/>
                <w:spacing w:val="-2"/>
                <w:sz w:val="21"/>
                <w:szCs w:val="21"/>
                <w:highlight w:val="none"/>
              </w:rPr>
              <w:t>时间、地点、方式</w:t>
            </w:r>
          </w:p>
        </w:tc>
      </w:tr>
      <w:tr w14:paraId="15FD1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7" w:hRule="atLeast"/>
        </w:trPr>
        <w:tc>
          <w:tcPr>
            <w:tcW w:w="1408" w:type="dxa"/>
            <w:tcBorders>
              <w:top w:val="single" w:color="auto" w:sz="4" w:space="0"/>
              <w:left w:val="single" w:color="auto" w:sz="4" w:space="0"/>
              <w:bottom w:val="single" w:color="auto" w:sz="4" w:space="0"/>
              <w:right w:val="single" w:color="auto" w:sz="4" w:space="0"/>
            </w:tcBorders>
            <w:noWrap w:val="0"/>
            <w:vAlign w:val="top"/>
          </w:tcPr>
          <w:p w14:paraId="071473CF">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 xml:space="preserve">  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0636A7E2">
            <w:pPr>
              <w:pStyle w:val="104"/>
              <w:keepNext w:val="0"/>
              <w:keepLines w:val="0"/>
              <w:suppressLineNumbers w:val="0"/>
              <w:spacing w:before="201" w:beforeAutospacing="0" w:after="0" w:afterAutospacing="0" w:line="405" w:lineRule="auto"/>
              <w:ind w:left="0" w:right="170"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277" w:type="dxa"/>
            <w:tcBorders>
              <w:top w:val="single" w:color="auto" w:sz="4" w:space="0"/>
              <w:left w:val="single" w:color="auto" w:sz="4" w:space="0"/>
              <w:bottom w:val="single" w:color="auto" w:sz="4" w:space="0"/>
              <w:right w:val="single" w:color="auto" w:sz="4" w:space="0"/>
            </w:tcBorders>
            <w:noWrap w:val="0"/>
            <w:vAlign w:val="top"/>
          </w:tcPr>
          <w:p w14:paraId="4E76ED84">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595EB202">
            <w:pPr>
              <w:pStyle w:val="104"/>
              <w:keepNext w:val="0"/>
              <w:keepLines w:val="0"/>
              <w:suppressLineNumbers w:val="0"/>
              <w:spacing w:before="180" w:beforeAutospacing="0" w:after="0" w:afterAutospacing="0" w:line="420" w:lineRule="auto"/>
              <w:ind w:left="0" w:right="349"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452" w:type="dxa"/>
            <w:tcBorders>
              <w:top w:val="single" w:color="auto" w:sz="4" w:space="0"/>
              <w:left w:val="single" w:color="auto" w:sz="4" w:space="0"/>
              <w:bottom w:val="single" w:color="auto" w:sz="4" w:space="0"/>
              <w:right w:val="single" w:color="auto" w:sz="4" w:space="0"/>
            </w:tcBorders>
            <w:noWrap w:val="0"/>
            <w:vAlign w:val="top"/>
          </w:tcPr>
          <w:p w14:paraId="624DF9D9">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63B69B88">
            <w:pPr>
              <w:pStyle w:val="104"/>
              <w:keepNext w:val="0"/>
              <w:keepLines w:val="0"/>
              <w:suppressLineNumbers w:val="0"/>
              <w:spacing w:before="180" w:beforeAutospacing="0" w:after="0" w:afterAutospacing="0" w:line="420" w:lineRule="auto"/>
              <w:ind w:left="0" w:right="377"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353" w:type="dxa"/>
            <w:tcBorders>
              <w:top w:val="single" w:color="auto" w:sz="4" w:space="0"/>
              <w:left w:val="single" w:color="auto" w:sz="4" w:space="0"/>
              <w:bottom w:val="single" w:color="auto" w:sz="4" w:space="0"/>
              <w:right w:val="single" w:color="auto" w:sz="4" w:space="0"/>
            </w:tcBorders>
            <w:noWrap w:val="0"/>
            <w:vAlign w:val="top"/>
          </w:tcPr>
          <w:p w14:paraId="2C479944">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6737B276">
            <w:pPr>
              <w:pStyle w:val="104"/>
              <w:keepNext w:val="0"/>
              <w:keepLines w:val="0"/>
              <w:suppressLineNumbers w:val="0"/>
              <w:spacing w:before="201" w:beforeAutospacing="0" w:after="0" w:afterAutospacing="0" w:line="405" w:lineRule="auto"/>
              <w:ind w:left="0" w:right="166" w:rightChars="0"/>
              <w:jc w:val="both"/>
              <w:rPr>
                <w:rFonts w:cs="Times New Roman"/>
                <w:color w:val="auto"/>
                <w:sz w:val="21"/>
                <w:szCs w:val="21"/>
                <w:highlight w:val="none"/>
              </w:rPr>
            </w:pPr>
            <w:r>
              <w:rPr>
                <w:rFonts w:hint="eastAsia" w:cs="Times New Roman"/>
                <w:color w:val="auto"/>
                <w:spacing w:val="4"/>
                <w:sz w:val="21"/>
                <w:szCs w:val="21"/>
                <w:highlight w:val="none"/>
              </w:rPr>
              <w:t>不合格口</w:t>
            </w:r>
          </w:p>
        </w:tc>
        <w:tc>
          <w:tcPr>
            <w:tcW w:w="1650" w:type="dxa"/>
            <w:tcBorders>
              <w:top w:val="single" w:color="auto" w:sz="4" w:space="0"/>
              <w:left w:val="single" w:color="auto" w:sz="4" w:space="0"/>
              <w:bottom w:val="single" w:color="auto" w:sz="4" w:space="0"/>
              <w:right w:val="single" w:color="auto" w:sz="4" w:space="0"/>
            </w:tcBorders>
            <w:noWrap w:val="0"/>
            <w:vAlign w:val="top"/>
          </w:tcPr>
          <w:p w14:paraId="2C327C28">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60877852">
            <w:pPr>
              <w:pStyle w:val="104"/>
              <w:keepNext w:val="0"/>
              <w:keepLines w:val="0"/>
              <w:suppressLineNumbers w:val="0"/>
              <w:spacing w:before="180" w:beforeAutospacing="0" w:after="0" w:afterAutospacing="0" w:line="420" w:lineRule="auto"/>
              <w:ind w:left="0" w:right="163"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740" w:type="dxa"/>
            <w:tcBorders>
              <w:top w:val="single" w:color="auto" w:sz="4" w:space="0"/>
              <w:left w:val="single" w:color="auto" w:sz="4" w:space="0"/>
              <w:bottom w:val="single" w:color="auto" w:sz="4" w:space="0"/>
              <w:right w:val="single" w:color="auto" w:sz="4" w:space="0"/>
            </w:tcBorders>
            <w:noWrap w:val="0"/>
            <w:vAlign w:val="top"/>
          </w:tcPr>
          <w:p w14:paraId="30A43150">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02EE5473">
            <w:pPr>
              <w:pStyle w:val="104"/>
              <w:keepNext w:val="0"/>
              <w:keepLines w:val="0"/>
              <w:suppressLineNumbers w:val="0"/>
              <w:spacing w:before="180" w:beforeAutospacing="0" w:after="0" w:afterAutospacing="0" w:line="420" w:lineRule="auto"/>
              <w:ind w:left="0" w:right="377"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r>
    </w:tbl>
    <w:p w14:paraId="79B5C55F">
      <w:pPr>
        <w:pStyle w:val="23"/>
        <w:numPr>
          <w:ilvl w:val="0"/>
          <w:numId w:val="0"/>
        </w:numPr>
        <w:spacing w:after="312" w:afterLines="100"/>
        <w:jc w:val="center"/>
        <w:outlineLvl w:val="0"/>
        <w:rPr>
          <w:rFonts w:ascii="Times New Roman" w:hAnsi="Times New Roman"/>
          <w:color w:val="auto"/>
          <w:sz w:val="44"/>
          <w:szCs w:val="44"/>
          <w:highlight w:val="none"/>
          <w:lang w:val="zh-CN"/>
        </w:rPr>
      </w:pPr>
      <w:r>
        <w:rPr>
          <w:rFonts w:ascii="Times New Roman" w:hAnsi="Times New Roman"/>
          <w:color w:val="auto"/>
          <w:sz w:val="44"/>
          <w:szCs w:val="44"/>
          <w:highlight w:val="none"/>
        </w:rPr>
        <w:br w:type="column"/>
      </w:r>
      <w:bookmarkEnd w:id="51"/>
      <w:bookmarkEnd w:id="52"/>
      <w:r>
        <w:rPr>
          <w:rFonts w:ascii="Times New Roman" w:hAnsi="Times New Roman"/>
          <w:color w:val="auto"/>
          <w:sz w:val="44"/>
          <w:szCs w:val="44"/>
          <w:highlight w:val="none"/>
          <w:lang w:val="zh-CN"/>
        </w:rPr>
        <w:t>第</w:t>
      </w:r>
      <w:r>
        <w:rPr>
          <w:rFonts w:hint="eastAsia" w:ascii="Times New Roman" w:hAnsi="Times New Roman"/>
          <w:color w:val="auto"/>
          <w:sz w:val="44"/>
          <w:szCs w:val="44"/>
          <w:highlight w:val="none"/>
          <w:lang w:val="en-US" w:eastAsia="zh-CN"/>
        </w:rPr>
        <w:t>六</w:t>
      </w:r>
      <w:r>
        <w:rPr>
          <w:rFonts w:ascii="Times New Roman" w:hAnsi="Times New Roman"/>
          <w:color w:val="auto"/>
          <w:sz w:val="44"/>
          <w:szCs w:val="44"/>
          <w:highlight w:val="none"/>
          <w:lang w:val="zh-CN"/>
        </w:rPr>
        <w:t>章 评标办法及评分标准</w:t>
      </w:r>
      <w:bookmarkEnd w:id="53"/>
      <w:bookmarkEnd w:id="54"/>
    </w:p>
    <w:p w14:paraId="5DF209E6">
      <w:pPr>
        <w:spacing w:line="440" w:lineRule="atLeast"/>
        <w:ind w:firstLine="422" w:firstLineChars="200"/>
        <w:rPr>
          <w:b/>
          <w:bCs/>
          <w:color w:val="auto"/>
          <w:highlight w:val="none"/>
        </w:rPr>
      </w:pPr>
      <w:bookmarkStart w:id="55" w:name="_Toc8598"/>
      <w:bookmarkStart w:id="56" w:name="_Toc10317"/>
      <w:r>
        <w:rPr>
          <w:rFonts w:hint="eastAsia"/>
          <w:b/>
          <w:bCs/>
          <w:color w:val="auto"/>
          <w:highlight w:val="none"/>
        </w:rPr>
        <w:t>一、评标办法：</w:t>
      </w:r>
      <w:bookmarkEnd w:id="55"/>
      <w:bookmarkEnd w:id="56"/>
    </w:p>
    <w:p w14:paraId="564E0545">
      <w:pPr>
        <w:spacing w:line="440" w:lineRule="atLeast"/>
        <w:ind w:firstLine="420" w:firstLineChars="200"/>
        <w:rPr>
          <w:color w:val="auto"/>
          <w:highlight w:val="none"/>
        </w:rPr>
      </w:pPr>
      <w:r>
        <w:rPr>
          <w:rFonts w:hint="eastAsia"/>
          <w:color w:val="auto"/>
          <w:highlight w:val="none"/>
        </w:rPr>
        <w:t>1</w:t>
      </w:r>
      <w:r>
        <w:rPr>
          <w:rFonts w:hint="eastAsia"/>
          <w:color w:val="auto"/>
          <w:highlight w:val="none"/>
          <w:lang w:eastAsia="zh-CN"/>
        </w:rPr>
        <w:t>、</w:t>
      </w:r>
      <w:r>
        <w:rPr>
          <w:rFonts w:hint="eastAsia"/>
          <w:color w:val="auto"/>
          <w:highlight w:val="none"/>
        </w:rPr>
        <w:t>本次磋商评标采用综合评分法，综合评分法是指投标文件满足投标文件全部实质性要求，且按照评审因素的量化指标评审得分最高的投标人为中标人的评标方法。</w:t>
      </w:r>
    </w:p>
    <w:p w14:paraId="78BA1E37">
      <w:pPr>
        <w:spacing w:line="440" w:lineRule="atLeast"/>
        <w:ind w:firstLine="420" w:firstLineChars="200"/>
        <w:rPr>
          <w:color w:val="auto"/>
          <w:highlight w:val="none"/>
        </w:rPr>
      </w:pPr>
      <w:r>
        <w:rPr>
          <w:color w:val="auto"/>
          <w:highlight w:val="none"/>
        </w:rPr>
        <w:t>2</w:t>
      </w:r>
      <w:r>
        <w:rPr>
          <w:rFonts w:hint="eastAsia"/>
          <w:color w:val="auto"/>
          <w:highlight w:val="none"/>
          <w:lang w:eastAsia="zh-CN"/>
        </w:rPr>
        <w:t>、</w:t>
      </w:r>
      <w:r>
        <w:rPr>
          <w:rFonts w:hint="eastAsia"/>
          <w:color w:val="auto"/>
          <w:highlight w:val="none"/>
        </w:rPr>
        <w:t>采用综合评分法的，评标结果按评审后得分由高到低顺序排列。得分相同的，按投标报价由低到高顺序排列，以实际投标报价较低的优先作为中标人；得分且实际投标报价相同的，则由采购人以抽签方式确定中标人。</w:t>
      </w:r>
    </w:p>
    <w:p w14:paraId="5EBAD037">
      <w:pPr>
        <w:spacing w:line="440" w:lineRule="atLeast"/>
        <w:ind w:firstLine="420" w:firstLineChars="200"/>
        <w:rPr>
          <w:color w:val="auto"/>
          <w:highlight w:val="none"/>
        </w:rPr>
      </w:pPr>
      <w:r>
        <w:rPr>
          <w:color w:val="auto"/>
          <w:highlight w:val="none"/>
        </w:rPr>
        <w:t>3</w:t>
      </w:r>
      <w:r>
        <w:rPr>
          <w:rFonts w:hint="eastAsia"/>
          <w:color w:val="auto"/>
          <w:highlight w:val="none"/>
          <w:lang w:eastAsia="zh-CN"/>
        </w:rPr>
        <w:t>、</w:t>
      </w:r>
      <w:r>
        <w:rPr>
          <w:rFonts w:hint="eastAsia"/>
          <w:color w:val="auto"/>
          <w:highlight w:val="none"/>
        </w:rPr>
        <w:t>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p>
    <w:p w14:paraId="4B925511">
      <w:pPr>
        <w:spacing w:line="440" w:lineRule="atLeast"/>
        <w:ind w:firstLine="420" w:firstLineChars="200"/>
        <w:rPr>
          <w:color w:val="auto"/>
          <w:highlight w:val="none"/>
        </w:rPr>
      </w:pPr>
      <w:r>
        <w:rPr>
          <w:color w:val="auto"/>
          <w:highlight w:val="none"/>
        </w:rPr>
        <w:t>4</w:t>
      </w:r>
      <w:r>
        <w:rPr>
          <w:rFonts w:hint="eastAsia"/>
          <w:color w:val="auto"/>
          <w:highlight w:val="none"/>
          <w:lang w:eastAsia="zh-CN"/>
        </w:rPr>
        <w:t>、</w:t>
      </w:r>
      <w:r>
        <w:rPr>
          <w:rFonts w:hint="eastAsia"/>
          <w:color w:val="auto"/>
          <w:highlight w:val="none"/>
        </w:rPr>
        <w:t>针对中小型企业的评审：</w:t>
      </w:r>
    </w:p>
    <w:p w14:paraId="190C5EE8">
      <w:pPr>
        <w:spacing w:line="440" w:lineRule="atLeast"/>
        <w:ind w:firstLine="422" w:firstLineChars="200"/>
        <w:rPr>
          <w:rFonts w:hint="eastAsia"/>
          <w:b/>
          <w:bCs/>
          <w:color w:val="auto"/>
          <w:highlight w:val="none"/>
        </w:rPr>
      </w:pPr>
      <w:r>
        <w:rPr>
          <w:rFonts w:hint="eastAsia"/>
          <w:b/>
          <w:bCs/>
          <w:color w:val="auto"/>
          <w:highlight w:val="none"/>
        </w:rPr>
        <w:t>本项目专门面向中小企业采购的项目或者采购包，不再执行价格评审优惠的扶持政策。</w:t>
      </w:r>
    </w:p>
    <w:p w14:paraId="30794E6D">
      <w:pPr>
        <w:spacing w:line="440" w:lineRule="atLeast"/>
        <w:ind w:firstLine="420" w:firstLineChars="200"/>
        <w:rPr>
          <w:rFonts w:hint="eastAsia"/>
          <w:b w:val="0"/>
          <w:bCs w:val="0"/>
          <w:color w:val="auto"/>
          <w:highlight w:val="none"/>
        </w:rPr>
      </w:pPr>
      <w:r>
        <w:rPr>
          <w:rFonts w:hint="eastAsia"/>
          <w:b w:val="0"/>
          <w:bCs w:val="0"/>
          <w:color w:val="auto"/>
          <w:highlight w:val="none"/>
          <w:lang w:val="en-US" w:eastAsia="zh-CN"/>
        </w:rPr>
        <w:t>5、</w:t>
      </w:r>
      <w:r>
        <w:rPr>
          <w:rFonts w:hint="eastAsia"/>
          <w:b w:val="0"/>
          <w:bCs w:val="0"/>
          <w:color w:val="auto"/>
          <w:highlight w:val="none"/>
        </w:rPr>
        <w:t>评审过程中出现下列情形之一的，评审委员会根据《苏财购〔2026〕2号》文应当启动异常低价投标（响应）审查程序：</w:t>
      </w:r>
    </w:p>
    <w:p w14:paraId="5DC3BDC5">
      <w:pPr>
        <w:spacing w:line="440" w:lineRule="atLeast"/>
        <w:ind w:firstLine="420" w:firstLineChars="200"/>
        <w:rPr>
          <w:rFonts w:hint="eastAsia"/>
          <w:b w:val="0"/>
          <w:bCs w:val="0"/>
          <w:color w:val="auto"/>
          <w:highlight w:val="none"/>
        </w:rPr>
      </w:pPr>
      <w:r>
        <w:rPr>
          <w:rFonts w:hint="eastAsia"/>
          <w:b w:val="0"/>
          <w:bCs w:val="0"/>
          <w:color w:val="auto"/>
          <w:highlight w:val="none"/>
        </w:rPr>
        <w:t>（一）评审过程中出现下列情形之一的，评审委员会应当启动异常低价投标（响应）审查程序：</w:t>
      </w:r>
    </w:p>
    <w:p w14:paraId="12A88599">
      <w:pPr>
        <w:spacing w:line="440" w:lineRule="atLeast"/>
        <w:ind w:firstLine="420" w:firstLineChars="200"/>
        <w:rPr>
          <w:rFonts w:hint="eastAsia"/>
          <w:b w:val="0"/>
          <w:bCs w:val="0"/>
          <w:color w:val="auto"/>
          <w:highlight w:val="none"/>
        </w:rPr>
      </w:pPr>
      <w:r>
        <w:rPr>
          <w:rFonts w:hint="eastAsia"/>
          <w:b w:val="0"/>
          <w:bCs w:val="0"/>
          <w:color w:val="auto"/>
          <w:highlight w:val="none"/>
        </w:rPr>
        <w:t>1.投标（响应）报价低于全部通过符合性审查供应商投标（响应）报价平均值50%的，即投标（响应）报价&lt;全部通过符合性审查供应商投标（响应）报价平均值×50%；</w:t>
      </w:r>
    </w:p>
    <w:p w14:paraId="2AD518DE">
      <w:pPr>
        <w:spacing w:line="440" w:lineRule="atLeast"/>
        <w:ind w:firstLine="420" w:firstLineChars="200"/>
        <w:rPr>
          <w:rFonts w:hint="eastAsia"/>
          <w:b w:val="0"/>
          <w:bCs w:val="0"/>
          <w:color w:val="auto"/>
          <w:highlight w:val="none"/>
        </w:rPr>
      </w:pPr>
      <w:r>
        <w:rPr>
          <w:rFonts w:hint="eastAsia"/>
          <w:b w:val="0"/>
          <w:bCs w:val="0"/>
          <w:color w:val="auto"/>
          <w:highlight w:val="none"/>
        </w:rPr>
        <w:t>2.投标（响应）报价低于通过符合性审查的次低报价供应商投标（响应）报价50%的，即投标（响应）报价&lt;通过符合性审查的次低报价供应商投标（响应）报价×50%；</w:t>
      </w:r>
    </w:p>
    <w:p w14:paraId="284BFAB5">
      <w:pPr>
        <w:spacing w:line="440" w:lineRule="atLeast"/>
        <w:ind w:firstLine="420" w:firstLineChars="200"/>
        <w:rPr>
          <w:rFonts w:hint="eastAsia"/>
          <w:b w:val="0"/>
          <w:bCs w:val="0"/>
          <w:color w:val="auto"/>
          <w:highlight w:val="none"/>
        </w:rPr>
      </w:pPr>
      <w:r>
        <w:rPr>
          <w:rFonts w:hint="eastAsia"/>
          <w:b w:val="0"/>
          <w:bCs w:val="0"/>
          <w:color w:val="auto"/>
          <w:highlight w:val="none"/>
        </w:rPr>
        <w:t>3.投标（响应）1报价低于采购项目最高限价45%的，即投标（响应）报价&lt;采购项目最高限价×45%；</w:t>
      </w:r>
    </w:p>
    <w:p w14:paraId="2BE2B195">
      <w:pPr>
        <w:spacing w:line="440" w:lineRule="atLeast"/>
        <w:ind w:firstLine="420" w:firstLineChars="200"/>
        <w:rPr>
          <w:rFonts w:hint="eastAsia"/>
          <w:b w:val="0"/>
          <w:bCs w:val="0"/>
          <w:color w:val="auto"/>
          <w:highlight w:val="none"/>
        </w:rPr>
      </w:pPr>
      <w:r>
        <w:rPr>
          <w:rFonts w:hint="eastAsia"/>
          <w:b w:val="0"/>
          <w:bCs w:val="0"/>
          <w:color w:val="auto"/>
          <w:highlight w:val="none"/>
        </w:rPr>
        <w:t>4.评审委员会基于专业判断，认为供应商报价过低，有可能影响产品质量或者不能诚信履约的其他情形。</w:t>
      </w:r>
    </w:p>
    <w:p w14:paraId="4C4F3BE4">
      <w:pPr>
        <w:spacing w:line="440" w:lineRule="atLeast"/>
        <w:ind w:firstLine="420" w:firstLineChars="200"/>
        <w:rPr>
          <w:rFonts w:hint="eastAsia"/>
          <w:b w:val="0"/>
          <w:bCs w:val="0"/>
          <w:color w:val="auto"/>
          <w:highlight w:val="none"/>
        </w:rPr>
      </w:pPr>
      <w:r>
        <w:rPr>
          <w:rFonts w:hint="eastAsia"/>
          <w:b w:val="0"/>
          <w:bCs w:val="0"/>
          <w:color w:val="auto"/>
          <w:highlight w:val="none"/>
        </w:rPr>
        <w:t>采购人可以结合具体项目实际情况，提高上述第1项至第3项中启动异常低价投标（响应）审查的数值标准，但是最高不得超过65%。</w:t>
      </w:r>
    </w:p>
    <w:p w14:paraId="53A1504F">
      <w:pPr>
        <w:spacing w:line="440" w:lineRule="atLeast"/>
        <w:ind w:firstLine="420" w:firstLineChars="200"/>
        <w:rPr>
          <w:rFonts w:hint="eastAsia"/>
          <w:b w:val="0"/>
          <w:bCs w:val="0"/>
          <w:color w:val="auto"/>
          <w:highlight w:val="none"/>
        </w:rPr>
      </w:pPr>
      <w:r>
        <w:rPr>
          <w:rFonts w:hint="eastAsia"/>
          <w:b w:val="0"/>
          <w:bCs w:val="0"/>
          <w:color w:val="auto"/>
          <w:highlight w:val="none"/>
        </w:rPr>
        <w:t>相关法律法规对供应商报价有规定的，从其规定。</w:t>
      </w:r>
    </w:p>
    <w:p w14:paraId="437A82E4">
      <w:pPr>
        <w:spacing w:line="440" w:lineRule="atLeast"/>
        <w:ind w:firstLine="420" w:firstLineChars="200"/>
        <w:rPr>
          <w:rFonts w:hint="eastAsia"/>
          <w:b w:val="0"/>
          <w:bCs w:val="0"/>
          <w:color w:val="auto"/>
          <w:highlight w:val="none"/>
        </w:rPr>
      </w:pPr>
      <w:r>
        <w:rPr>
          <w:rFonts w:hint="eastAsia"/>
          <w:b w:val="0"/>
          <w:bCs w:val="0"/>
          <w:color w:val="auto"/>
          <w:highlight w:val="none"/>
        </w:rPr>
        <w:t>（二）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E8E196B">
      <w:pPr>
        <w:spacing w:line="440" w:lineRule="atLeast"/>
        <w:ind w:firstLine="420" w:firstLineChars="200"/>
        <w:rPr>
          <w:rFonts w:hint="eastAsia"/>
          <w:b w:val="0"/>
          <w:bCs w:val="0"/>
          <w:color w:val="auto"/>
          <w:highlight w:val="none"/>
        </w:rPr>
      </w:pPr>
      <w:r>
        <w:rPr>
          <w:rFonts w:hint="eastAsia"/>
          <w:b w:val="0"/>
          <w:bCs w:val="0"/>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p>
    <w:p w14:paraId="6FB007CE">
      <w:pPr>
        <w:spacing w:line="440" w:lineRule="atLeast"/>
        <w:ind w:firstLine="420" w:firstLineChars="200"/>
        <w:rPr>
          <w:rFonts w:hint="eastAsia"/>
          <w:b w:val="0"/>
          <w:bCs w:val="0"/>
          <w:color w:val="auto"/>
          <w:highlight w:val="none"/>
        </w:rPr>
      </w:pPr>
      <w:r>
        <w:rPr>
          <w:rFonts w:hint="eastAsia"/>
          <w:b w:val="0"/>
          <w:bCs w:val="0"/>
          <w:color w:val="auto"/>
          <w:highlight w:val="none"/>
        </w:rPr>
        <w:t>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p>
    <w:p w14:paraId="0EE6396D">
      <w:pPr>
        <w:spacing w:line="440" w:lineRule="atLeast"/>
        <w:ind w:firstLine="420" w:firstLineChars="200"/>
        <w:rPr>
          <w:rFonts w:hint="eastAsia"/>
          <w:b w:val="0"/>
          <w:bCs w:val="0"/>
          <w:color w:val="auto"/>
          <w:highlight w:val="none"/>
        </w:rPr>
      </w:pPr>
      <w:r>
        <w:rPr>
          <w:rFonts w:hint="eastAsia"/>
          <w:b w:val="0"/>
          <w:bCs w:val="0"/>
          <w:color w:val="auto"/>
          <w:highlight w:val="none"/>
        </w:rPr>
        <w:t>异常低价投标（响应）审查的启动原因、审查意见和审查结果会在评审报告中记录，并随供应商提供的相关书面说明及证明材料，以及评审委员会有关互联网浏览、查询历史一并归档。</w:t>
      </w:r>
    </w:p>
    <w:p w14:paraId="7F0E7D08">
      <w:pPr>
        <w:spacing w:line="440" w:lineRule="atLeast"/>
        <w:ind w:firstLine="422" w:firstLineChars="200"/>
        <w:rPr>
          <w:b/>
          <w:bCs/>
          <w:color w:val="auto"/>
          <w:highlight w:val="none"/>
        </w:rPr>
      </w:pPr>
      <w:r>
        <w:rPr>
          <w:rFonts w:hint="eastAsia"/>
          <w:b/>
          <w:bCs/>
          <w:color w:val="auto"/>
          <w:highlight w:val="none"/>
        </w:rPr>
        <w:t>二、评分标准：</w:t>
      </w:r>
    </w:p>
    <w:p w14:paraId="02A763BF">
      <w:pPr>
        <w:spacing w:line="440" w:lineRule="atLeast"/>
        <w:ind w:firstLine="420" w:firstLineChars="200"/>
        <w:rPr>
          <w:rFonts w:hint="eastAsia"/>
          <w:color w:val="auto"/>
          <w:highlight w:val="none"/>
        </w:rPr>
      </w:pPr>
      <w:r>
        <w:rPr>
          <w:rFonts w:hint="eastAsia"/>
          <w:color w:val="auto"/>
          <w:highlight w:val="none"/>
        </w:rPr>
        <w:t>总分值为100分，评审因素及各比重如下：价格分值占总分值的比重为</w:t>
      </w:r>
      <w:r>
        <w:rPr>
          <w:rFonts w:hint="eastAsia"/>
          <w:color w:val="auto"/>
          <w:highlight w:val="none"/>
          <w:lang w:val="en-US" w:eastAsia="zh-CN"/>
        </w:rPr>
        <w:t>3</w:t>
      </w:r>
      <w:r>
        <w:rPr>
          <w:color w:val="auto"/>
          <w:highlight w:val="none"/>
        </w:rPr>
        <w:t>0</w:t>
      </w:r>
      <w:r>
        <w:rPr>
          <w:rFonts w:hint="eastAsia"/>
          <w:color w:val="auto"/>
          <w:highlight w:val="none"/>
        </w:rPr>
        <w:t>%（权重），技术与方案及其它占</w:t>
      </w:r>
      <w:r>
        <w:rPr>
          <w:rFonts w:hint="eastAsia"/>
          <w:color w:val="auto"/>
          <w:highlight w:val="none"/>
          <w:lang w:val="en-US" w:eastAsia="zh-CN"/>
        </w:rPr>
        <w:t>7</w:t>
      </w:r>
      <w:r>
        <w:rPr>
          <w:color w:val="auto"/>
          <w:highlight w:val="none"/>
        </w:rPr>
        <w:t>0</w:t>
      </w:r>
      <w:r>
        <w:rPr>
          <w:rFonts w:hint="eastAsia"/>
          <w:color w:val="auto"/>
          <w:highlight w:val="none"/>
        </w:rPr>
        <w:t>%（权重）。</w:t>
      </w:r>
    </w:p>
    <w:p w14:paraId="618F81AB">
      <w:pPr>
        <w:spacing w:line="440" w:lineRule="atLeast"/>
        <w:ind w:firstLine="422" w:firstLineChars="200"/>
        <w:rPr>
          <w:rFonts w:hint="eastAsia"/>
          <w:b/>
          <w:bCs/>
          <w:color w:val="auto"/>
          <w:highlight w:val="none"/>
        </w:rPr>
      </w:pPr>
      <w:r>
        <w:rPr>
          <w:rFonts w:hint="eastAsia"/>
          <w:b/>
          <w:bCs/>
          <w:color w:val="auto"/>
          <w:highlight w:val="none"/>
        </w:rPr>
        <w:t>（一）价格分（</w:t>
      </w:r>
      <w:r>
        <w:rPr>
          <w:rFonts w:hint="eastAsia"/>
          <w:b/>
          <w:bCs/>
          <w:color w:val="auto"/>
          <w:highlight w:val="none"/>
          <w:lang w:val="en-US" w:eastAsia="zh-CN"/>
        </w:rPr>
        <w:t>3</w:t>
      </w:r>
      <w:r>
        <w:rPr>
          <w:b/>
          <w:bCs/>
          <w:color w:val="auto"/>
          <w:highlight w:val="none"/>
        </w:rPr>
        <w:t>0</w:t>
      </w:r>
      <w:r>
        <w:rPr>
          <w:rFonts w:hint="eastAsia"/>
          <w:b/>
          <w:bCs/>
          <w:color w:val="auto"/>
          <w:highlight w:val="none"/>
        </w:rPr>
        <w:t>分）</w:t>
      </w:r>
    </w:p>
    <w:p w14:paraId="39CAE250">
      <w:pPr>
        <w:spacing w:line="440" w:lineRule="atLeast"/>
        <w:ind w:firstLine="420" w:firstLineChars="200"/>
        <w:rPr>
          <w:rFonts w:hint="eastAsia"/>
          <w:color w:val="auto"/>
          <w:highlight w:val="none"/>
        </w:rPr>
      </w:pPr>
      <w:r>
        <w:rPr>
          <w:rFonts w:hint="eastAsia"/>
          <w:color w:val="auto"/>
          <w:highlight w:val="none"/>
        </w:rPr>
        <w:t>1</w:t>
      </w:r>
      <w:r>
        <w:rPr>
          <w:color w:val="auto"/>
          <w:highlight w:val="none"/>
        </w:rPr>
        <w:t>.</w:t>
      </w:r>
      <w:r>
        <w:rPr>
          <w:rFonts w:hint="eastAsia"/>
          <w:color w:val="auto"/>
          <w:highlight w:val="none"/>
        </w:rPr>
        <w:t>投标总报价低于或等于财政预算价格的，为有效投标报价。超财政预算的投标报价为无效投标报价。无效投标报价的投标文件不进行评审，也不得</w:t>
      </w:r>
      <w:r>
        <w:rPr>
          <w:rFonts w:hint="eastAsia"/>
          <w:color w:val="auto"/>
          <w:highlight w:val="none"/>
          <w:lang w:val="en-US" w:eastAsia="zh-CN"/>
        </w:rPr>
        <w:t>中</w:t>
      </w:r>
      <w:r>
        <w:rPr>
          <w:rFonts w:hint="eastAsia"/>
          <w:color w:val="auto"/>
          <w:highlight w:val="none"/>
        </w:rPr>
        <w:t>标。</w:t>
      </w:r>
    </w:p>
    <w:p w14:paraId="50042ABB">
      <w:pPr>
        <w:spacing w:line="440" w:lineRule="atLeast"/>
        <w:ind w:firstLine="420" w:firstLineChars="200"/>
        <w:rPr>
          <w:rFonts w:hint="eastAsia"/>
          <w:color w:val="auto"/>
          <w:highlight w:val="none"/>
        </w:rPr>
      </w:pPr>
      <w:r>
        <w:rPr>
          <w:rFonts w:hint="eastAsia"/>
          <w:color w:val="auto"/>
          <w:highlight w:val="none"/>
        </w:rPr>
        <w:t>2</w:t>
      </w:r>
      <w:r>
        <w:rPr>
          <w:color w:val="auto"/>
          <w:highlight w:val="none"/>
        </w:rPr>
        <w:t>.</w:t>
      </w:r>
      <w:r>
        <w:rPr>
          <w:rFonts w:hint="eastAsia"/>
          <w:color w:val="auto"/>
          <w:highlight w:val="none"/>
        </w:rPr>
        <w:t>价格分采用低价优先法计算，即满足采购文件要求且投标价格最低的投标报价为评标基准价，其价格分为满分，即</w:t>
      </w:r>
      <w:r>
        <w:rPr>
          <w:rFonts w:hint="eastAsia"/>
          <w:color w:val="auto"/>
          <w:highlight w:val="none"/>
          <w:lang w:val="en-US" w:eastAsia="zh-CN"/>
        </w:rPr>
        <w:t>3</w:t>
      </w:r>
      <w:r>
        <w:rPr>
          <w:rFonts w:hint="eastAsia"/>
          <w:color w:val="auto"/>
          <w:highlight w:val="none"/>
        </w:rPr>
        <w:t>0分。其他响应单位的价格分按照下列公式计算（计算结果四舍五入保留两位小数）。</w:t>
      </w:r>
    </w:p>
    <w:p w14:paraId="2167D3EC">
      <w:pPr>
        <w:spacing w:line="440" w:lineRule="atLeast"/>
        <w:ind w:firstLine="420" w:firstLineChars="200"/>
        <w:rPr>
          <w:rFonts w:hint="eastAsia"/>
          <w:color w:val="auto"/>
          <w:highlight w:val="none"/>
        </w:rPr>
      </w:pPr>
      <w:r>
        <w:rPr>
          <w:rFonts w:hint="eastAsia"/>
          <w:color w:val="auto"/>
          <w:highlight w:val="none"/>
        </w:rPr>
        <w:t>投标报价得分=（评标基准价/投标报价）×价格权值×100；（价格权值为</w:t>
      </w:r>
      <w:r>
        <w:rPr>
          <w:rFonts w:hint="eastAsia"/>
          <w:color w:val="auto"/>
          <w:highlight w:val="none"/>
          <w:lang w:val="en-US" w:eastAsia="zh-CN"/>
        </w:rPr>
        <w:t>3</w:t>
      </w:r>
      <w:r>
        <w:rPr>
          <w:rFonts w:hint="eastAsia"/>
          <w:color w:val="auto"/>
          <w:highlight w:val="none"/>
        </w:rPr>
        <w:t>0%）</w:t>
      </w:r>
    </w:p>
    <w:p w14:paraId="6C7955DD">
      <w:pPr>
        <w:spacing w:line="440" w:lineRule="atLeast"/>
        <w:ind w:firstLine="420" w:firstLineChars="200"/>
        <w:rPr>
          <w:rFonts w:hint="eastAsia"/>
          <w:color w:val="auto"/>
          <w:highlight w:val="none"/>
        </w:rPr>
      </w:pPr>
      <w:r>
        <w:rPr>
          <w:rFonts w:hint="eastAsia"/>
          <w:color w:val="auto"/>
          <w:highlight w:val="none"/>
          <w:lang w:val="en-US" w:eastAsia="zh-CN"/>
        </w:rPr>
        <w:t>3</w:t>
      </w:r>
      <w:r>
        <w:rPr>
          <w:color w:val="auto"/>
          <w:highlight w:val="none"/>
        </w:rPr>
        <w:t>.</w:t>
      </w:r>
      <w:r>
        <w:rPr>
          <w:rFonts w:hint="eastAsia"/>
          <w:color w:val="auto"/>
          <w:highlight w:val="none"/>
        </w:rPr>
        <w:t>报价修正规则</w:t>
      </w:r>
    </w:p>
    <w:p w14:paraId="147C8EFD">
      <w:pPr>
        <w:spacing w:line="440" w:lineRule="atLeast"/>
        <w:ind w:firstLine="420" w:firstLineChars="200"/>
        <w:rPr>
          <w:rFonts w:hint="eastAsia"/>
          <w:color w:val="auto"/>
          <w:highlight w:val="none"/>
        </w:rPr>
      </w:pPr>
      <w:r>
        <w:rPr>
          <w:rFonts w:hint="eastAsia"/>
          <w:color w:val="auto"/>
          <w:highlight w:val="none"/>
        </w:rPr>
        <w:t>在评审中，对投标报价出现前后不一致的，除采购文件另有规定外，按照下列规定修正：</w:t>
      </w:r>
    </w:p>
    <w:p w14:paraId="409A5F44">
      <w:pPr>
        <w:spacing w:line="440" w:lineRule="atLeast"/>
        <w:ind w:firstLine="420" w:firstLineChars="200"/>
        <w:rPr>
          <w:rFonts w:hint="eastAsia"/>
          <w:color w:val="auto"/>
          <w:highlight w:val="none"/>
        </w:rPr>
      </w:pPr>
      <w:r>
        <w:rPr>
          <w:rFonts w:hint="eastAsia"/>
          <w:color w:val="auto"/>
          <w:highlight w:val="none"/>
        </w:rPr>
        <w:t>（1）投标文件中</w:t>
      </w:r>
      <w:r>
        <w:rPr>
          <w:rFonts w:hint="eastAsia"/>
          <w:color w:val="auto"/>
          <w:highlight w:val="none"/>
          <w:lang w:eastAsia="zh-CN"/>
        </w:rPr>
        <w:t>磋商报价表</w:t>
      </w:r>
      <w:r>
        <w:rPr>
          <w:rFonts w:hint="eastAsia"/>
          <w:color w:val="auto"/>
          <w:highlight w:val="none"/>
        </w:rPr>
        <w:t>内容与投标文件中明细表内容不一致的，以</w:t>
      </w:r>
      <w:r>
        <w:rPr>
          <w:rFonts w:hint="eastAsia"/>
          <w:color w:val="auto"/>
          <w:highlight w:val="none"/>
          <w:lang w:eastAsia="zh-CN"/>
        </w:rPr>
        <w:t>磋商报价表</w:t>
      </w:r>
      <w:r>
        <w:rPr>
          <w:rFonts w:hint="eastAsia"/>
          <w:color w:val="auto"/>
          <w:highlight w:val="none"/>
        </w:rPr>
        <w:t>为准。</w:t>
      </w:r>
    </w:p>
    <w:p w14:paraId="72870BFB">
      <w:pPr>
        <w:spacing w:line="440" w:lineRule="atLeast"/>
        <w:ind w:firstLine="420" w:firstLineChars="200"/>
        <w:rPr>
          <w:rFonts w:hint="eastAsia"/>
          <w:color w:val="auto"/>
          <w:highlight w:val="none"/>
        </w:rPr>
      </w:pPr>
      <w:r>
        <w:rPr>
          <w:rFonts w:hint="eastAsia"/>
          <w:color w:val="auto"/>
          <w:highlight w:val="none"/>
        </w:rPr>
        <w:t>（2）投标文件的大写金额和小写金额不一致的，以大写金额为准。</w:t>
      </w:r>
    </w:p>
    <w:p w14:paraId="36FFABC1">
      <w:pPr>
        <w:spacing w:line="440" w:lineRule="atLeast"/>
        <w:ind w:firstLine="420" w:firstLineChars="200"/>
        <w:rPr>
          <w:rFonts w:hint="eastAsia"/>
          <w:color w:val="auto"/>
          <w:highlight w:val="none"/>
        </w:rPr>
      </w:pPr>
      <w:r>
        <w:rPr>
          <w:rFonts w:hint="eastAsia"/>
          <w:color w:val="auto"/>
          <w:highlight w:val="none"/>
        </w:rPr>
        <w:t>（3）单价金额小数点或者百分比有明显错位的，以</w:t>
      </w:r>
      <w:r>
        <w:rPr>
          <w:rFonts w:hint="eastAsia"/>
          <w:color w:val="auto"/>
          <w:highlight w:val="none"/>
          <w:lang w:eastAsia="zh-CN"/>
        </w:rPr>
        <w:t>磋商报价表</w:t>
      </w:r>
      <w:r>
        <w:rPr>
          <w:rFonts w:hint="eastAsia"/>
          <w:color w:val="auto"/>
          <w:highlight w:val="none"/>
        </w:rPr>
        <w:t>的总价为准，并修改单价。</w:t>
      </w:r>
    </w:p>
    <w:p w14:paraId="00D5AEC3">
      <w:pPr>
        <w:spacing w:line="440" w:lineRule="atLeast"/>
        <w:ind w:firstLine="420" w:firstLineChars="200"/>
        <w:rPr>
          <w:rFonts w:hint="eastAsia"/>
          <w:color w:val="auto"/>
          <w:highlight w:val="none"/>
        </w:rPr>
      </w:pPr>
      <w:r>
        <w:rPr>
          <w:rFonts w:hint="eastAsia"/>
          <w:color w:val="auto"/>
          <w:highlight w:val="none"/>
        </w:rPr>
        <w:t>（4）总价金额与按单价汇总金额不一致的，以单价金额计算结果为准。</w:t>
      </w:r>
    </w:p>
    <w:p w14:paraId="5CBE50EC">
      <w:pPr>
        <w:spacing w:line="440" w:lineRule="atLeast"/>
        <w:ind w:firstLine="420" w:firstLineChars="200"/>
        <w:rPr>
          <w:rFonts w:hint="eastAsia"/>
          <w:color w:val="auto"/>
          <w:highlight w:val="none"/>
        </w:rPr>
      </w:pPr>
      <w:r>
        <w:rPr>
          <w:rFonts w:hint="eastAsia"/>
          <w:color w:val="auto"/>
          <w:highlight w:val="none"/>
        </w:rPr>
        <w:t>同时出现两种以上不一致的，按照前款规定的顺序修正。</w:t>
      </w:r>
    </w:p>
    <w:p w14:paraId="3BA40DF6">
      <w:pPr>
        <w:spacing w:line="440" w:lineRule="atLeast"/>
        <w:ind w:firstLine="420" w:firstLineChars="200"/>
        <w:rPr>
          <w:rFonts w:hint="eastAsia"/>
          <w:color w:val="auto"/>
          <w:highlight w:val="none"/>
        </w:rPr>
      </w:pPr>
      <w:r>
        <w:rPr>
          <w:rFonts w:hint="eastAsia"/>
          <w:color w:val="auto"/>
          <w:highlight w:val="none"/>
        </w:rPr>
        <w:t>按上述方法调整后的投标报价经投标人确认后产生约束力，投标人不确认的，其投标无效。</w:t>
      </w:r>
    </w:p>
    <w:p w14:paraId="66B51A55">
      <w:pPr>
        <w:pStyle w:val="13"/>
        <w:spacing w:line="440" w:lineRule="exact"/>
        <w:rPr>
          <w:rFonts w:hAnsi="宋体" w:cs="宋体"/>
          <w:b/>
          <w:color w:val="auto"/>
          <w:szCs w:val="21"/>
          <w:highlight w:val="none"/>
          <w:lang w:val="en-US" w:eastAsia="zh-CN"/>
        </w:rPr>
      </w:pPr>
      <w:r>
        <w:rPr>
          <w:rFonts w:hint="eastAsia" w:hAnsi="宋体" w:cs="宋体"/>
          <w:b/>
          <w:color w:val="auto"/>
          <w:szCs w:val="21"/>
          <w:highlight w:val="none"/>
          <w:lang w:eastAsia="zh-CN"/>
        </w:rPr>
        <w:t>（</w:t>
      </w:r>
      <w:r>
        <w:rPr>
          <w:rFonts w:hint="eastAsia" w:hAnsi="宋体" w:cs="宋体"/>
          <w:b/>
          <w:color w:val="auto"/>
          <w:szCs w:val="21"/>
          <w:highlight w:val="none"/>
          <w:lang w:val="en-US" w:eastAsia="zh-CN"/>
        </w:rPr>
        <w:t>二</w:t>
      </w:r>
      <w:r>
        <w:rPr>
          <w:rFonts w:hint="eastAsia" w:hAnsi="宋体" w:cs="宋体"/>
          <w:b/>
          <w:color w:val="auto"/>
          <w:szCs w:val="21"/>
          <w:highlight w:val="none"/>
          <w:lang w:eastAsia="zh-CN"/>
        </w:rPr>
        <w:t>）</w:t>
      </w:r>
      <w:r>
        <w:rPr>
          <w:rFonts w:hint="eastAsia" w:hAnsi="宋体" w:cs="宋体"/>
          <w:b/>
          <w:color w:val="auto"/>
          <w:szCs w:val="21"/>
          <w:highlight w:val="none"/>
          <w:lang w:val="en-US" w:eastAsia="zh-CN"/>
        </w:rPr>
        <w:t>技术分（70分）</w:t>
      </w:r>
    </w:p>
    <w:tbl>
      <w:tblPr>
        <w:tblStyle w:val="27"/>
        <w:tblW w:w="9273" w:type="dxa"/>
        <w:tblInd w:w="-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3"/>
        <w:gridCol w:w="1455"/>
        <w:gridCol w:w="1377"/>
        <w:gridCol w:w="5022"/>
        <w:gridCol w:w="666"/>
      </w:tblGrid>
      <w:tr w14:paraId="07FC8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53" w:type="dxa"/>
            <w:vAlign w:val="center"/>
          </w:tcPr>
          <w:p w14:paraId="1C636585">
            <w:pPr>
              <w:keepNext w:val="0"/>
              <w:keepLines w:val="0"/>
              <w:widowControl/>
              <w:suppressLineNumbers w:val="0"/>
              <w:spacing w:before="0" w:beforeAutospacing="0" w:after="0" w:afterAutospacing="0" w:line="360" w:lineRule="auto"/>
              <w:ind w:left="0" w:right="0"/>
              <w:jc w:val="both"/>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序号</w:t>
            </w:r>
          </w:p>
        </w:tc>
        <w:tc>
          <w:tcPr>
            <w:tcW w:w="1455" w:type="dxa"/>
            <w:vAlign w:val="center"/>
          </w:tcPr>
          <w:p w14:paraId="2C3A4FF2">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评分项目</w:t>
            </w:r>
          </w:p>
        </w:tc>
        <w:tc>
          <w:tcPr>
            <w:tcW w:w="6399" w:type="dxa"/>
            <w:gridSpan w:val="2"/>
            <w:vAlign w:val="center"/>
          </w:tcPr>
          <w:p w14:paraId="5419CC55">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内容</w:t>
            </w:r>
          </w:p>
        </w:tc>
        <w:tc>
          <w:tcPr>
            <w:tcW w:w="666" w:type="dxa"/>
            <w:vAlign w:val="center"/>
          </w:tcPr>
          <w:p w14:paraId="7CC0B569">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分值</w:t>
            </w:r>
          </w:p>
        </w:tc>
      </w:tr>
      <w:tr w14:paraId="3FB95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53" w:type="dxa"/>
            <w:vAlign w:val="center"/>
          </w:tcPr>
          <w:p w14:paraId="7E419B8E">
            <w:pPr>
              <w:keepNext w:val="0"/>
              <w:keepLines w:val="0"/>
              <w:widowControl/>
              <w:suppressLineNumbers w:val="0"/>
              <w:spacing w:before="0" w:beforeAutospacing="0" w:after="0" w:afterAutospacing="0" w:line="360" w:lineRule="auto"/>
              <w:ind w:left="0" w:right="0"/>
              <w:jc w:val="both"/>
              <w:textAlignment w:val="center"/>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一</w:t>
            </w:r>
          </w:p>
        </w:tc>
        <w:tc>
          <w:tcPr>
            <w:tcW w:w="8520" w:type="dxa"/>
            <w:gridSpan w:val="4"/>
            <w:vAlign w:val="center"/>
          </w:tcPr>
          <w:p w14:paraId="35F9803C">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b/>
                <w:bCs/>
                <w:color w:val="auto"/>
                <w:szCs w:val="21"/>
                <w:highlight w:val="none"/>
              </w:rPr>
            </w:pPr>
            <w:r>
              <w:rPr>
                <w:rFonts w:hint="eastAsia" w:ascii="Times New Roman" w:hAnsi="Times New Roman" w:eastAsia="宋体"/>
                <w:color w:val="auto"/>
                <w:sz w:val="21"/>
                <w:szCs w:val="21"/>
                <w:highlight w:val="none"/>
              </w:rPr>
              <w:t>服务技术方案（64分）</w:t>
            </w:r>
          </w:p>
        </w:tc>
      </w:tr>
      <w:tr w14:paraId="4DFD4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45105221">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p>
        </w:tc>
        <w:tc>
          <w:tcPr>
            <w:tcW w:w="1455" w:type="dxa"/>
            <w:vAlign w:val="center"/>
          </w:tcPr>
          <w:p w14:paraId="2884AF1C">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整体设想与策划：6分</w:t>
            </w:r>
          </w:p>
          <w:p w14:paraId="3B0BDB2D">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6399" w:type="dxa"/>
            <w:gridSpan w:val="2"/>
            <w:vAlign w:val="center"/>
          </w:tcPr>
          <w:p w14:paraId="34FEA78E">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针对本项目特点和需求进行对项目的定位、服务理念、管理思路及重点难点进行分析比较。</w:t>
            </w:r>
          </w:p>
          <w:p w14:paraId="0BA93271">
            <w:pPr>
              <w:keepNext w:val="0"/>
              <w:keepLines w:val="0"/>
              <w:widowControl w:val="0"/>
              <w:suppressLineNumbers w:val="0"/>
              <w:spacing w:before="0" w:beforeAutospacing="0" w:after="0" w:afterAutospacing="0" w:line="360" w:lineRule="auto"/>
              <w:ind w:left="0" w:right="0"/>
              <w:jc w:val="both"/>
              <w:rPr>
                <w:rFonts w:hint="eastAsia" w:ascii="宋体" w:hAnsi="宋体" w:cs="宋体"/>
                <w:color w:val="auto"/>
                <w:szCs w:val="21"/>
                <w:highlight w:val="none"/>
              </w:rPr>
            </w:pPr>
            <w:r>
              <w:rPr>
                <w:rFonts w:hint="eastAsia" w:ascii="Times New Roman" w:hAnsi="Times New Roman" w:eastAsia="宋体" w:cs="Times New Roman"/>
                <w:color w:val="auto"/>
                <w:sz w:val="21"/>
                <w:szCs w:val="21"/>
                <w:highlight w:val="none"/>
                <w:lang w:val="en-US" w:eastAsia="zh-CN" w:bidi="ar-SA"/>
              </w:rPr>
              <w:t>方案的合理性、完善性、规范性、清晰性、可操作性较好的得6分；方案合理性、完善性、规范性、清晰性、可操作性一般的得4分；方案合理性、完善性、规范性、清晰性、可操作性有缺项的得2分；无相关内容不得分；</w:t>
            </w:r>
          </w:p>
        </w:tc>
        <w:tc>
          <w:tcPr>
            <w:tcW w:w="666" w:type="dxa"/>
            <w:vAlign w:val="center"/>
          </w:tcPr>
          <w:p w14:paraId="4A5C322A">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p>
        </w:tc>
      </w:tr>
      <w:tr w14:paraId="71144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61016648">
            <w:pPr>
              <w:pStyle w:val="8"/>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w:t>
            </w:r>
          </w:p>
        </w:tc>
        <w:tc>
          <w:tcPr>
            <w:tcW w:w="1455" w:type="dxa"/>
            <w:vAlign w:val="center"/>
          </w:tcPr>
          <w:p w14:paraId="3253E342">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服务管理工作具体实施方案:6分</w:t>
            </w:r>
          </w:p>
          <w:p w14:paraId="03ECC69B">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szCs w:val="21"/>
                <w:highlight w:val="none"/>
              </w:rPr>
            </w:pPr>
          </w:p>
        </w:tc>
        <w:tc>
          <w:tcPr>
            <w:tcW w:w="6399" w:type="dxa"/>
            <w:gridSpan w:val="2"/>
            <w:vAlign w:val="center"/>
          </w:tcPr>
          <w:p w14:paraId="51649007">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日常服务标准及措施比较:包括各岗位安全管理服务方案、消监控室值班服务方案和高峰期时段安全管理方案比较。</w:t>
            </w:r>
          </w:p>
          <w:p w14:paraId="6434CA4F">
            <w:pPr>
              <w:keepNext w:val="0"/>
              <w:keepLines w:val="0"/>
              <w:widowControl w:val="0"/>
              <w:suppressLineNumbers w:val="0"/>
              <w:spacing w:before="0" w:beforeAutospacing="0" w:after="0" w:afterAutospacing="0" w:line="360" w:lineRule="auto"/>
              <w:ind w:left="0" w:right="0"/>
              <w:jc w:val="both"/>
              <w:rPr>
                <w:rFonts w:hint="eastAsia" w:ascii="宋体" w:hAnsi="宋体" w:cs="宋体"/>
                <w:color w:val="auto"/>
                <w:szCs w:val="21"/>
                <w:highlight w:val="none"/>
              </w:rPr>
            </w:pPr>
            <w:r>
              <w:rPr>
                <w:rFonts w:hint="eastAsia" w:ascii="Times New Roman" w:hAnsi="Times New Roman" w:eastAsia="宋体" w:cs="Times New Roman"/>
                <w:color w:val="auto"/>
                <w:sz w:val="21"/>
                <w:szCs w:val="21"/>
                <w:highlight w:val="none"/>
                <w:lang w:val="en-US" w:eastAsia="zh-CN" w:bidi="ar-SA"/>
              </w:rPr>
              <w:t xml:space="preserve">方案的合理性、完善性、规范性、清晰性、可操作性较好的得6分；方案合理性、完善性、规范性、清晰性、可操作性一般的得4分；方案合理性、完善性、规范性、清晰性、可操作性有缺项的得2分；无相关内容不得分； </w:t>
            </w:r>
          </w:p>
        </w:tc>
        <w:tc>
          <w:tcPr>
            <w:tcW w:w="666" w:type="dxa"/>
            <w:vAlign w:val="center"/>
          </w:tcPr>
          <w:p w14:paraId="0968B38F">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p>
        </w:tc>
      </w:tr>
      <w:tr w14:paraId="0942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268A15C8">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3</w:t>
            </w:r>
          </w:p>
        </w:tc>
        <w:tc>
          <w:tcPr>
            <w:tcW w:w="1455" w:type="dxa"/>
            <w:vAlign w:val="center"/>
          </w:tcPr>
          <w:p w14:paraId="16FD44A5">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项目组织管理方案:6分</w:t>
            </w:r>
          </w:p>
          <w:p w14:paraId="28D59AB0">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szCs w:val="21"/>
                <w:highlight w:val="none"/>
              </w:rPr>
            </w:pPr>
          </w:p>
        </w:tc>
        <w:tc>
          <w:tcPr>
            <w:tcW w:w="6399" w:type="dxa"/>
            <w:gridSpan w:val="2"/>
            <w:vAlign w:val="center"/>
          </w:tcPr>
          <w:p w14:paraId="3F5959D3">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管理组织架构合理，内部管理制度比较：包含管理规章制度、服务人员安全文明规范、服务档案管理制度，服务人员考核制度及标准比较。</w:t>
            </w:r>
          </w:p>
          <w:p w14:paraId="1CE831B3">
            <w:pPr>
              <w:keepNext w:val="0"/>
              <w:keepLines w:val="0"/>
              <w:widowControl w:val="0"/>
              <w:suppressLineNumbers w:val="0"/>
              <w:spacing w:before="0" w:beforeAutospacing="0" w:after="0" w:afterAutospacing="0" w:line="360" w:lineRule="auto"/>
              <w:ind w:left="0" w:right="0"/>
              <w:jc w:val="both"/>
              <w:rPr>
                <w:rFonts w:hint="eastAsia" w:ascii="宋体" w:hAnsi="宋体" w:cs="宋体"/>
                <w:color w:val="auto"/>
                <w:szCs w:val="21"/>
                <w:highlight w:val="none"/>
              </w:rPr>
            </w:pPr>
            <w:r>
              <w:rPr>
                <w:rFonts w:hint="eastAsia" w:ascii="Times New Roman" w:hAnsi="Times New Roman" w:eastAsia="宋体" w:cs="Times New Roman"/>
                <w:color w:val="auto"/>
                <w:sz w:val="21"/>
                <w:szCs w:val="21"/>
                <w:highlight w:val="none"/>
                <w:lang w:val="en-US" w:eastAsia="zh-CN" w:bidi="ar-SA"/>
              </w:rPr>
              <w:t xml:space="preserve">方案的合理性、完善性、规范性、清晰性、可操作性较好的得6分；方案合理性、完善性、规范性、清晰性、可操作性一般的得4分；方案合理性、完善性、规范性、清晰性、可操作性有缺项的得2分；无相关内容不得分； </w:t>
            </w:r>
          </w:p>
        </w:tc>
        <w:tc>
          <w:tcPr>
            <w:tcW w:w="666" w:type="dxa"/>
            <w:vAlign w:val="center"/>
          </w:tcPr>
          <w:p w14:paraId="0C3155E2">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p>
        </w:tc>
      </w:tr>
      <w:tr w14:paraId="3F40C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2368B1D2">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4</w:t>
            </w:r>
          </w:p>
        </w:tc>
        <w:tc>
          <w:tcPr>
            <w:tcW w:w="1455" w:type="dxa"/>
            <w:vAlign w:val="center"/>
          </w:tcPr>
          <w:p w14:paraId="1DF0FFDB">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安控管理方案比较：6分</w:t>
            </w:r>
          </w:p>
          <w:p w14:paraId="43386677">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szCs w:val="21"/>
                <w:highlight w:val="none"/>
              </w:rPr>
            </w:pPr>
          </w:p>
        </w:tc>
        <w:tc>
          <w:tcPr>
            <w:tcW w:w="6399" w:type="dxa"/>
            <w:gridSpan w:val="2"/>
            <w:vAlign w:val="center"/>
          </w:tcPr>
          <w:p w14:paraId="53A3550A">
            <w:pPr>
              <w:keepNext w:val="0"/>
              <w:keepLines w:val="0"/>
              <w:widowControl w:val="0"/>
              <w:suppressLineNumbers w:val="0"/>
              <w:spacing w:before="0" w:beforeAutospacing="0" w:after="0" w:afterAutospacing="0" w:line="360" w:lineRule="auto"/>
              <w:ind w:left="0" w:right="0"/>
              <w:jc w:val="both"/>
              <w:rPr>
                <w:rFonts w:hint="eastAsia" w:ascii="宋体" w:hAnsi="宋体" w:cs="宋体"/>
                <w:color w:val="auto"/>
                <w:szCs w:val="21"/>
                <w:highlight w:val="none"/>
              </w:rPr>
            </w:pPr>
            <w:r>
              <w:rPr>
                <w:rFonts w:hint="eastAsia" w:ascii="Times New Roman" w:hAnsi="Times New Roman" w:eastAsia="宋体" w:cs="Times New Roman"/>
                <w:color w:val="auto"/>
                <w:sz w:val="21"/>
                <w:szCs w:val="21"/>
                <w:highlight w:val="none"/>
                <w:lang w:val="en-US" w:eastAsia="zh-CN" w:bidi="ar-SA"/>
              </w:rPr>
              <w:t>方案的合理性、完善性、规范性、清晰性、可操作性较好的得6分；方案合理性、完善性、规范性、清晰性、可操作性一般的得4分；方案合理性、完善性、规范性、清晰性、可操作性有缺项的得2分；无相关内容不得分；</w:t>
            </w:r>
          </w:p>
        </w:tc>
        <w:tc>
          <w:tcPr>
            <w:tcW w:w="666" w:type="dxa"/>
            <w:vAlign w:val="center"/>
          </w:tcPr>
          <w:p w14:paraId="203F6483">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p>
        </w:tc>
      </w:tr>
      <w:tr w14:paraId="21C11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34849501">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5</w:t>
            </w:r>
          </w:p>
        </w:tc>
        <w:tc>
          <w:tcPr>
            <w:tcW w:w="1455" w:type="dxa"/>
            <w:vAlign w:val="center"/>
          </w:tcPr>
          <w:p w14:paraId="49931AA1">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应急措施方案比较：6分</w:t>
            </w:r>
          </w:p>
          <w:p w14:paraId="3AB4BA83">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szCs w:val="21"/>
                <w:highlight w:val="none"/>
              </w:rPr>
            </w:pPr>
          </w:p>
        </w:tc>
        <w:tc>
          <w:tcPr>
            <w:tcW w:w="6399" w:type="dxa"/>
            <w:gridSpan w:val="2"/>
            <w:vAlign w:val="center"/>
          </w:tcPr>
          <w:p w14:paraId="6499B2BC">
            <w:pPr>
              <w:keepNext w:val="0"/>
              <w:keepLines w:val="0"/>
              <w:widowControl w:val="0"/>
              <w:suppressLineNumbers w:val="0"/>
              <w:spacing w:before="0" w:beforeAutospacing="0" w:after="0" w:afterAutospacing="0" w:line="360" w:lineRule="auto"/>
              <w:ind w:left="0" w:right="0"/>
              <w:jc w:val="both"/>
              <w:rPr>
                <w:rFonts w:hint="eastAsia" w:ascii="宋体" w:hAnsi="宋体" w:cs="宋体"/>
                <w:color w:val="auto"/>
                <w:szCs w:val="21"/>
                <w:highlight w:val="none"/>
              </w:rPr>
            </w:pPr>
            <w:r>
              <w:rPr>
                <w:rFonts w:hint="eastAsia" w:ascii="Times New Roman" w:hAnsi="Times New Roman" w:eastAsia="宋体" w:cs="Times New Roman"/>
                <w:color w:val="auto"/>
                <w:sz w:val="21"/>
                <w:szCs w:val="21"/>
                <w:highlight w:val="none"/>
                <w:lang w:val="en-US" w:eastAsia="zh-CN" w:bidi="ar-SA"/>
              </w:rPr>
              <w:t>突发事件应急措施方案包括：资产保护应急措施方案、特殊事故（情况）措施方案、治安应急措施方案等内容。方案的合理性、完善性、规范性、清晰性、可操作性较好的得6分；方案合理性、完善性、规范性、清晰性、可操作性一般的得4分；方案合理性、完善性、规范性、清晰性、可操作性有缺项的得2分；无相关内容不得分；</w:t>
            </w:r>
          </w:p>
        </w:tc>
        <w:tc>
          <w:tcPr>
            <w:tcW w:w="666" w:type="dxa"/>
            <w:vAlign w:val="center"/>
          </w:tcPr>
          <w:p w14:paraId="1C97422E">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p>
        </w:tc>
      </w:tr>
      <w:tr w14:paraId="2A2C7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7A4F1F1B">
            <w:pPr>
              <w:pStyle w:val="37"/>
              <w:keepNext w:val="0"/>
              <w:keepLines w:val="0"/>
              <w:widowControl/>
              <w:suppressLineNumbers w:val="0"/>
              <w:spacing w:before="0" w:beforeAutospacing="0" w:after="0" w:afterAutospacing="0" w:line="360" w:lineRule="auto"/>
              <w:ind w:left="0" w:right="0"/>
              <w:jc w:val="both"/>
              <w:rPr>
                <w:rFonts w:hint="eastAsia" w:ascii="宋体" w:hAnsi="宋体" w:eastAsia="宋体" w:cs="宋体"/>
                <w:b w:val="0"/>
                <w:bCs w:val="0"/>
                <w:color w:val="auto"/>
                <w:kern w:val="2"/>
                <w:szCs w:val="22"/>
                <w:highlight w:val="none"/>
                <w:lang w:val="en-US" w:eastAsia="zh-CN"/>
              </w:rPr>
            </w:pPr>
            <w:r>
              <w:rPr>
                <w:rFonts w:hint="eastAsia" w:ascii="宋体" w:hAnsi="宋体" w:eastAsia="宋体" w:cs="宋体"/>
                <w:b w:val="0"/>
                <w:bCs w:val="0"/>
                <w:color w:val="auto"/>
                <w:kern w:val="2"/>
                <w:szCs w:val="22"/>
                <w:highlight w:val="none"/>
                <w:lang w:val="en-US" w:eastAsia="zh-CN"/>
              </w:rPr>
              <w:t>6</w:t>
            </w:r>
          </w:p>
        </w:tc>
        <w:tc>
          <w:tcPr>
            <w:tcW w:w="1455" w:type="dxa"/>
            <w:vAlign w:val="center"/>
          </w:tcPr>
          <w:p w14:paraId="7FABA002">
            <w:pPr>
              <w:keepNext w:val="0"/>
              <w:keepLines w:val="0"/>
              <w:widowControl w:val="0"/>
              <w:suppressLineNumbers w:val="0"/>
              <w:spacing w:before="0" w:beforeAutospacing="0" w:after="0" w:afterAutospacing="0" w:line="360" w:lineRule="auto"/>
              <w:ind w:left="0" w:right="0"/>
              <w:jc w:val="both"/>
              <w:rPr>
                <w:rFonts w:hint="eastAsia" w:ascii="宋体" w:hAnsi="宋体" w:cs="宋体"/>
                <w:color w:val="auto"/>
                <w:szCs w:val="21"/>
                <w:highlight w:val="none"/>
              </w:rPr>
            </w:pPr>
            <w:r>
              <w:rPr>
                <w:rFonts w:hint="eastAsia" w:ascii="Times New Roman" w:hAnsi="Times New Roman" w:eastAsia="宋体" w:cs="Times New Roman"/>
                <w:color w:val="auto"/>
                <w:sz w:val="21"/>
                <w:szCs w:val="21"/>
                <w:highlight w:val="none"/>
                <w:lang w:val="en-US" w:eastAsia="zh-CN" w:bidi="ar-SA"/>
              </w:rPr>
              <w:t>针对应急突发事件处置的演练支持方案比较：6分</w:t>
            </w:r>
          </w:p>
        </w:tc>
        <w:tc>
          <w:tcPr>
            <w:tcW w:w="6399" w:type="dxa"/>
            <w:gridSpan w:val="2"/>
            <w:vAlign w:val="center"/>
          </w:tcPr>
          <w:p w14:paraId="67F57FA5">
            <w:pPr>
              <w:keepNext w:val="0"/>
              <w:keepLines w:val="0"/>
              <w:widowControl w:val="0"/>
              <w:suppressLineNumbers w:val="0"/>
              <w:spacing w:before="0" w:beforeAutospacing="0" w:after="0" w:afterAutospacing="0" w:line="360" w:lineRule="auto"/>
              <w:ind w:left="0" w:right="0"/>
              <w:jc w:val="both"/>
              <w:rPr>
                <w:rFonts w:hint="eastAsia" w:ascii="宋体" w:hAnsi="宋体"/>
                <w:color w:val="auto"/>
                <w:szCs w:val="21"/>
                <w:highlight w:val="none"/>
              </w:rPr>
            </w:pPr>
            <w:r>
              <w:rPr>
                <w:rFonts w:hint="eastAsia" w:ascii="Times New Roman" w:hAnsi="Times New Roman" w:eastAsia="宋体" w:cs="Times New Roman"/>
                <w:color w:val="auto"/>
                <w:sz w:val="21"/>
                <w:szCs w:val="21"/>
                <w:highlight w:val="none"/>
                <w:lang w:val="en-US" w:eastAsia="zh-CN" w:bidi="ar-SA"/>
              </w:rPr>
              <w:t>提供各类应急预案演练计划、实施方案等 (可提供参与其他项目的应急演练图片及演练培训记录表) 。方案内容清晰、全面，完全符合项目实际需求得6分；方案内容基本涵盖，基本符合项目实际需求得4分；方案内容简单，不够完整得2分；未提供相关内容和描述的，不得分。</w:t>
            </w:r>
          </w:p>
        </w:tc>
        <w:tc>
          <w:tcPr>
            <w:tcW w:w="666" w:type="dxa"/>
            <w:vAlign w:val="center"/>
          </w:tcPr>
          <w:p w14:paraId="781A75F7">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p>
        </w:tc>
      </w:tr>
      <w:tr w14:paraId="68157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669BFF01">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7</w:t>
            </w:r>
          </w:p>
        </w:tc>
        <w:tc>
          <w:tcPr>
            <w:tcW w:w="1455" w:type="dxa"/>
            <w:vAlign w:val="center"/>
          </w:tcPr>
          <w:p w14:paraId="08FEE285">
            <w:pPr>
              <w:keepNext w:val="0"/>
              <w:keepLines w:val="0"/>
              <w:widowControl w:val="0"/>
              <w:suppressLineNumbers w:val="0"/>
              <w:spacing w:before="0" w:beforeAutospacing="0" w:after="0" w:afterAutospacing="0" w:line="360" w:lineRule="auto"/>
              <w:ind w:left="0" w:right="0"/>
              <w:jc w:val="both"/>
              <w:rPr>
                <w:rFonts w:hint="eastAsia" w:ascii="宋体" w:hAnsi="宋体" w:cs="宋体"/>
                <w:color w:val="auto"/>
                <w:szCs w:val="21"/>
                <w:highlight w:val="none"/>
              </w:rPr>
            </w:pPr>
            <w:r>
              <w:rPr>
                <w:rFonts w:hint="eastAsia" w:ascii="Times New Roman" w:hAnsi="Times New Roman" w:eastAsia="宋体" w:cs="Times New Roman"/>
                <w:color w:val="auto"/>
                <w:sz w:val="21"/>
                <w:szCs w:val="21"/>
                <w:highlight w:val="none"/>
                <w:lang w:val="en-US" w:eastAsia="zh-CN" w:bidi="ar-SA"/>
              </w:rPr>
              <w:t>针对本项目人员培训、考核奖惩方案计划比较：8分</w:t>
            </w:r>
          </w:p>
        </w:tc>
        <w:tc>
          <w:tcPr>
            <w:tcW w:w="6399" w:type="dxa"/>
            <w:gridSpan w:val="2"/>
            <w:vAlign w:val="center"/>
          </w:tcPr>
          <w:p w14:paraId="1D15A1FB">
            <w:pPr>
              <w:keepNext w:val="0"/>
              <w:keepLines w:val="0"/>
              <w:widowControl w:val="0"/>
              <w:suppressLineNumbers w:val="0"/>
              <w:spacing w:before="0" w:beforeAutospacing="0" w:after="0" w:afterAutospacing="0" w:line="360" w:lineRule="auto"/>
              <w:ind w:left="0" w:right="0"/>
              <w:jc w:val="both"/>
              <w:rPr>
                <w:rFonts w:hint="eastAsia" w:ascii="宋体" w:hAnsi="宋体" w:cs="宋体"/>
                <w:color w:val="auto"/>
                <w:szCs w:val="21"/>
                <w:highlight w:val="none"/>
              </w:rPr>
            </w:pPr>
            <w:r>
              <w:rPr>
                <w:rFonts w:hint="eastAsia" w:ascii="Times New Roman" w:hAnsi="Times New Roman" w:eastAsia="宋体" w:cs="Times New Roman"/>
                <w:color w:val="auto"/>
                <w:sz w:val="21"/>
                <w:szCs w:val="21"/>
                <w:highlight w:val="none"/>
                <w:lang w:val="en-US" w:eastAsia="zh-CN" w:bidi="ar-SA"/>
              </w:rPr>
              <w:t>人员培训、考核奖惩方案科学完善，可实施性强的得8分；人员培训、考核奖惩方案合理，有一定可实施性的得5分；方案一般，人员培训、考核奖惩方案简单，可实施性不强的得3分；无相关内容不得分。</w:t>
            </w:r>
          </w:p>
        </w:tc>
        <w:tc>
          <w:tcPr>
            <w:tcW w:w="666" w:type="dxa"/>
            <w:vAlign w:val="center"/>
          </w:tcPr>
          <w:p w14:paraId="38386F60">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8</w:t>
            </w:r>
          </w:p>
        </w:tc>
      </w:tr>
      <w:tr w14:paraId="49461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50F80841">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8</w:t>
            </w:r>
          </w:p>
        </w:tc>
        <w:tc>
          <w:tcPr>
            <w:tcW w:w="1455" w:type="dxa"/>
            <w:vAlign w:val="center"/>
          </w:tcPr>
          <w:p w14:paraId="5CC5F723">
            <w:pPr>
              <w:keepNext w:val="0"/>
              <w:keepLines w:val="0"/>
              <w:widowControl w:val="0"/>
              <w:suppressLineNumbers w:val="0"/>
              <w:spacing w:before="0" w:beforeAutospacing="0" w:after="0" w:afterAutospacing="0" w:line="360" w:lineRule="auto"/>
              <w:ind w:left="0" w:right="0"/>
              <w:jc w:val="both"/>
              <w:rPr>
                <w:rFonts w:hint="eastAsia" w:ascii="宋体" w:hAnsi="宋体" w:cs="宋体"/>
                <w:color w:val="auto"/>
                <w:szCs w:val="21"/>
                <w:highlight w:val="none"/>
              </w:rPr>
            </w:pPr>
            <w:r>
              <w:rPr>
                <w:rFonts w:hint="eastAsia" w:ascii="Times New Roman" w:hAnsi="Times New Roman" w:eastAsia="宋体" w:cs="Times New Roman"/>
                <w:color w:val="auto"/>
                <w:sz w:val="21"/>
                <w:szCs w:val="21"/>
                <w:highlight w:val="none"/>
                <w:lang w:val="en-US" w:eastAsia="zh-CN" w:bidi="ar-SA"/>
              </w:rPr>
              <w:t>工作人员所用设备、器材的配备情况比较：8分</w:t>
            </w:r>
          </w:p>
        </w:tc>
        <w:tc>
          <w:tcPr>
            <w:tcW w:w="6399" w:type="dxa"/>
            <w:gridSpan w:val="2"/>
            <w:vAlign w:val="center"/>
          </w:tcPr>
          <w:p w14:paraId="5E098E1F">
            <w:pPr>
              <w:keepNext w:val="0"/>
              <w:keepLines w:val="0"/>
              <w:suppressLineNumbers w:val="0"/>
              <w:tabs>
                <w:tab w:val="left" w:pos="0"/>
              </w:tabs>
              <w:spacing w:before="0" w:beforeAutospacing="0" w:after="0" w:afterAutospacing="0" w:line="360" w:lineRule="auto"/>
              <w:ind w:left="0" w:right="0"/>
              <w:rPr>
                <w:rFonts w:hint="eastAsia" w:ascii="宋体" w:hAnsi="宋体" w:cs="宋体"/>
                <w:color w:val="auto"/>
                <w:szCs w:val="21"/>
                <w:highlight w:val="none"/>
              </w:rPr>
            </w:pPr>
            <w:r>
              <w:rPr>
                <w:rFonts w:hint="eastAsia" w:ascii="Times New Roman" w:hAnsi="Times New Roman" w:eastAsia="宋体" w:cs="Times New Roman"/>
                <w:color w:val="auto"/>
                <w:kern w:val="0"/>
                <w:szCs w:val="21"/>
                <w:highlight w:val="none"/>
              </w:rPr>
              <w:t>方案的合理性、完善性、规范性、清晰性、可操作性较好的得8分；方案合理性、完善性、规范性、清晰性、可操作性一般的得5分；方案合理性、完善性、规范性、清晰性、可操作性有缺项的得3分；无相关内容不得分；</w:t>
            </w:r>
          </w:p>
        </w:tc>
        <w:tc>
          <w:tcPr>
            <w:tcW w:w="666" w:type="dxa"/>
            <w:vAlign w:val="center"/>
          </w:tcPr>
          <w:p w14:paraId="3DF3B3D0">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8</w:t>
            </w:r>
          </w:p>
        </w:tc>
      </w:tr>
      <w:tr w14:paraId="1B91F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4" w:hRule="atLeast"/>
        </w:trPr>
        <w:tc>
          <w:tcPr>
            <w:tcW w:w="753" w:type="dxa"/>
            <w:vMerge w:val="restart"/>
            <w:vAlign w:val="center"/>
          </w:tcPr>
          <w:p w14:paraId="0BF1BDCE">
            <w:pPr>
              <w:pStyle w:val="37"/>
              <w:keepNext w:val="0"/>
              <w:keepLines w:val="0"/>
              <w:widowControl/>
              <w:suppressLineNumbers w:val="0"/>
              <w:spacing w:before="0" w:beforeAutospacing="0" w:after="0" w:afterAutospacing="0" w:line="360" w:lineRule="auto"/>
              <w:ind w:left="0" w:right="0"/>
              <w:jc w:val="both"/>
              <w:rPr>
                <w:rFonts w:hint="eastAsia" w:ascii="宋体" w:hAnsi="宋体" w:eastAsia="宋体" w:cs="宋体"/>
                <w:b w:val="0"/>
                <w:bCs w:val="0"/>
                <w:color w:val="auto"/>
                <w:kern w:val="2"/>
                <w:szCs w:val="22"/>
                <w:highlight w:val="none"/>
                <w:lang w:val="en-US" w:eastAsia="zh-CN"/>
              </w:rPr>
            </w:pPr>
            <w:r>
              <w:rPr>
                <w:rFonts w:hint="eastAsia" w:ascii="宋体" w:hAnsi="宋体" w:eastAsia="宋体" w:cs="宋体"/>
                <w:b w:val="0"/>
                <w:bCs w:val="0"/>
                <w:color w:val="auto"/>
                <w:kern w:val="2"/>
                <w:szCs w:val="22"/>
                <w:highlight w:val="none"/>
                <w:lang w:val="en-US" w:eastAsia="zh-CN"/>
              </w:rPr>
              <w:t>9</w:t>
            </w:r>
          </w:p>
        </w:tc>
        <w:tc>
          <w:tcPr>
            <w:tcW w:w="1455" w:type="dxa"/>
            <w:vMerge w:val="restart"/>
            <w:vAlign w:val="center"/>
          </w:tcPr>
          <w:p w14:paraId="70D5AE53">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人员配置合理性及人员素质比较（12分）</w:t>
            </w:r>
          </w:p>
          <w:p w14:paraId="5F54C160">
            <w:pPr>
              <w:keepNext w:val="0"/>
              <w:keepLines w:val="0"/>
              <w:suppressLineNumbers w:val="0"/>
              <w:tabs>
                <w:tab w:val="left" w:pos="0"/>
              </w:tabs>
              <w:spacing w:before="0" w:beforeAutospacing="0" w:after="0" w:afterAutospacing="0" w:line="360" w:lineRule="auto"/>
              <w:ind w:left="0" w:right="0"/>
              <w:rPr>
                <w:rFonts w:hint="eastAsia" w:ascii="宋体" w:hAnsi="宋体" w:cs="宋体"/>
                <w:color w:val="auto"/>
                <w:szCs w:val="21"/>
                <w:highlight w:val="none"/>
              </w:rPr>
            </w:pPr>
          </w:p>
        </w:tc>
        <w:tc>
          <w:tcPr>
            <w:tcW w:w="1377" w:type="dxa"/>
            <w:vMerge w:val="restart"/>
            <w:vAlign w:val="center"/>
          </w:tcPr>
          <w:p w14:paraId="2A007540">
            <w:pPr>
              <w:keepNext w:val="0"/>
              <w:keepLines w:val="0"/>
              <w:suppressLineNumbers w:val="0"/>
              <w:tabs>
                <w:tab w:val="left" w:pos="0"/>
              </w:tabs>
              <w:spacing w:before="0" w:beforeAutospacing="0" w:after="0" w:afterAutospacing="0" w:line="360" w:lineRule="auto"/>
              <w:ind w:left="0" w:right="0"/>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9.1、项目经理情况比较</w:t>
            </w:r>
          </w:p>
          <w:p w14:paraId="305B8716">
            <w:pPr>
              <w:keepNext w:val="0"/>
              <w:keepLines w:val="0"/>
              <w:suppressLineNumbers w:val="0"/>
              <w:tabs>
                <w:tab w:val="left" w:pos="0"/>
              </w:tabs>
              <w:spacing w:before="0" w:beforeAutospacing="0" w:after="0" w:afterAutospacing="0" w:line="360" w:lineRule="auto"/>
              <w:ind w:left="0" w:right="0"/>
              <w:rPr>
                <w:rFonts w:hint="eastAsia" w:ascii="宋体" w:hAnsi="宋体" w:cs="宋体"/>
                <w:color w:val="auto"/>
                <w:szCs w:val="21"/>
                <w:highlight w:val="none"/>
              </w:rPr>
            </w:pPr>
            <w:r>
              <w:rPr>
                <w:rFonts w:hint="eastAsia" w:ascii="Times New Roman" w:hAnsi="Times New Roman" w:eastAsia="宋体" w:cs="Times New Roman"/>
                <w:color w:val="auto"/>
                <w:sz w:val="21"/>
                <w:szCs w:val="21"/>
                <w:highlight w:val="none"/>
                <w:lang w:val="en-US" w:eastAsia="zh-CN" w:bidi="ar-SA"/>
              </w:rPr>
              <w:t>（4分）</w:t>
            </w:r>
          </w:p>
        </w:tc>
        <w:tc>
          <w:tcPr>
            <w:tcW w:w="5022" w:type="dxa"/>
            <w:vAlign w:val="center"/>
          </w:tcPr>
          <w:p w14:paraId="27B5BC80">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Times New Roman" w:hAnsi="Times New Roman" w:eastAsia="宋体" w:cs="Times New Roman"/>
                <w:color w:val="auto"/>
                <w:sz w:val="21"/>
                <w:szCs w:val="21"/>
                <w:highlight w:val="none"/>
                <w:lang w:val="en-US" w:eastAsia="zh-CN" w:bidi="ar-SA"/>
              </w:rPr>
              <w:t>具有大专及以上学历的得2分，须提供学历证书复印件</w:t>
            </w:r>
            <w:r>
              <w:rPr>
                <w:rFonts w:hint="eastAsia" w:ascii="Times New Roman" w:hAnsi="Times New Roman" w:eastAsia="宋体" w:cs="Times New Roman"/>
                <w:color w:val="auto"/>
                <w:kern w:val="0"/>
                <w:sz w:val="21"/>
                <w:szCs w:val="21"/>
                <w:highlight w:val="none"/>
                <w:lang w:val="en-US" w:eastAsia="zh-CN"/>
              </w:rPr>
              <w:t>加盖公章</w:t>
            </w:r>
            <w:r>
              <w:rPr>
                <w:rFonts w:hint="eastAsia" w:ascii="Times New Roman" w:hAnsi="Times New Roman" w:eastAsia="宋体" w:cs="Times New Roman"/>
                <w:color w:val="auto"/>
                <w:sz w:val="21"/>
                <w:szCs w:val="21"/>
                <w:highlight w:val="none"/>
                <w:lang w:val="en-US" w:eastAsia="zh-CN" w:bidi="ar-SA"/>
              </w:rPr>
              <w:t>。</w:t>
            </w:r>
            <w:r>
              <w:rPr>
                <w:rFonts w:hint="eastAsia" w:ascii="Times New Roman" w:hAnsi="Times New Roman" w:eastAsia="宋体" w:cs="Times New Roman"/>
                <w:color w:val="auto"/>
                <w:kern w:val="0"/>
                <w:sz w:val="21"/>
                <w:szCs w:val="21"/>
                <w:highlight w:val="none"/>
              </w:rPr>
              <w:t>须在投标文件中提供投标单位为其缴纳的近3个月的社保证明复印件</w:t>
            </w:r>
            <w:r>
              <w:rPr>
                <w:rFonts w:hint="eastAsia" w:ascii="Times New Roman" w:hAnsi="Times New Roman" w:eastAsia="宋体" w:cs="Times New Roman"/>
                <w:color w:val="auto"/>
                <w:kern w:val="0"/>
                <w:sz w:val="21"/>
                <w:szCs w:val="21"/>
                <w:highlight w:val="none"/>
                <w:lang w:val="en-US" w:eastAsia="zh-CN"/>
              </w:rPr>
              <w:t>加盖公章</w:t>
            </w:r>
            <w:r>
              <w:rPr>
                <w:rFonts w:hint="eastAsia" w:ascii="Times New Roman" w:hAnsi="Times New Roman" w:eastAsia="宋体" w:cs="Times New Roman"/>
                <w:color w:val="auto"/>
                <w:kern w:val="0"/>
                <w:sz w:val="21"/>
                <w:szCs w:val="21"/>
                <w:highlight w:val="none"/>
              </w:rPr>
              <w:t>，否则本项不得分。</w:t>
            </w:r>
          </w:p>
        </w:tc>
        <w:tc>
          <w:tcPr>
            <w:tcW w:w="666" w:type="dxa"/>
            <w:vAlign w:val="center"/>
          </w:tcPr>
          <w:p w14:paraId="0DF05171">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r>
      <w:tr w14:paraId="4B2B6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9" w:hRule="atLeast"/>
        </w:trPr>
        <w:tc>
          <w:tcPr>
            <w:tcW w:w="753" w:type="dxa"/>
            <w:vMerge w:val="continue"/>
            <w:vAlign w:val="center"/>
          </w:tcPr>
          <w:p w14:paraId="2C94F664">
            <w:pPr>
              <w:pStyle w:val="37"/>
              <w:keepNext w:val="0"/>
              <w:keepLines w:val="0"/>
              <w:widowControl/>
              <w:suppressLineNumbers w:val="0"/>
              <w:spacing w:before="0" w:beforeAutospacing="0" w:after="0" w:afterAutospacing="0" w:line="360" w:lineRule="auto"/>
              <w:ind w:left="0" w:right="0"/>
              <w:jc w:val="both"/>
              <w:rPr>
                <w:rFonts w:hint="eastAsia" w:ascii="宋体" w:hAnsi="宋体" w:eastAsia="宋体" w:cs="宋体"/>
                <w:b w:val="0"/>
                <w:bCs w:val="0"/>
                <w:color w:val="auto"/>
                <w:kern w:val="2"/>
                <w:szCs w:val="22"/>
                <w:highlight w:val="none"/>
                <w:lang w:val="en-US" w:eastAsia="zh-CN"/>
              </w:rPr>
            </w:pPr>
          </w:p>
        </w:tc>
        <w:tc>
          <w:tcPr>
            <w:tcW w:w="1455" w:type="dxa"/>
            <w:vMerge w:val="continue"/>
            <w:vAlign w:val="center"/>
          </w:tcPr>
          <w:p w14:paraId="4CB1E71E">
            <w:pPr>
              <w:keepNext w:val="0"/>
              <w:keepLines w:val="0"/>
              <w:suppressLineNumbers w:val="0"/>
              <w:tabs>
                <w:tab w:val="left" w:pos="0"/>
              </w:tabs>
              <w:spacing w:before="0" w:beforeAutospacing="0" w:after="0" w:afterAutospacing="0" w:line="360" w:lineRule="auto"/>
              <w:ind w:left="0" w:right="0"/>
              <w:rPr>
                <w:rFonts w:hint="eastAsia" w:ascii="宋体" w:hAnsi="宋体" w:cs="宋体"/>
                <w:color w:val="auto"/>
                <w:szCs w:val="21"/>
                <w:highlight w:val="none"/>
              </w:rPr>
            </w:pPr>
          </w:p>
        </w:tc>
        <w:tc>
          <w:tcPr>
            <w:tcW w:w="1377" w:type="dxa"/>
            <w:vMerge w:val="continue"/>
            <w:vAlign w:val="center"/>
          </w:tcPr>
          <w:p w14:paraId="4219BE7A">
            <w:pPr>
              <w:keepNext w:val="0"/>
              <w:keepLines w:val="0"/>
              <w:suppressLineNumbers w:val="0"/>
              <w:tabs>
                <w:tab w:val="left" w:pos="0"/>
              </w:tabs>
              <w:spacing w:before="0" w:beforeAutospacing="0" w:after="0" w:afterAutospacing="0" w:line="360" w:lineRule="auto"/>
              <w:ind w:left="0" w:right="0"/>
              <w:rPr>
                <w:rFonts w:hint="eastAsia" w:ascii="Times New Roman" w:hAnsi="Times New Roman" w:eastAsia="宋体" w:cs="Times New Roman"/>
                <w:color w:val="auto"/>
                <w:sz w:val="21"/>
                <w:szCs w:val="21"/>
                <w:highlight w:val="none"/>
                <w:lang w:val="en-US" w:eastAsia="zh-CN" w:bidi="ar-SA"/>
              </w:rPr>
            </w:pPr>
          </w:p>
        </w:tc>
        <w:tc>
          <w:tcPr>
            <w:tcW w:w="5022" w:type="dxa"/>
            <w:vAlign w:val="center"/>
          </w:tcPr>
          <w:p w14:paraId="15E2A731">
            <w:pPr>
              <w:keepNext w:val="0"/>
              <w:keepLines w:val="0"/>
              <w:suppressLineNumbers w:val="0"/>
              <w:tabs>
                <w:tab w:val="left" w:pos="0"/>
              </w:tabs>
              <w:spacing w:before="0" w:beforeAutospacing="0" w:after="0" w:afterAutospacing="0" w:line="360" w:lineRule="auto"/>
              <w:ind w:left="0" w:right="0"/>
              <w:rPr>
                <w:rFonts w:hint="eastAsia"/>
                <w:color w:val="auto"/>
                <w:highlight w:val="none"/>
                <w:lang w:val="en-US" w:eastAsia="zh-CN"/>
              </w:rPr>
            </w:pPr>
            <w:r>
              <w:rPr>
                <w:rFonts w:hint="eastAsia" w:ascii="Times New Roman" w:hAnsi="Times New Roman" w:eastAsia="宋体"/>
                <w:color w:val="auto"/>
                <w:sz w:val="21"/>
                <w:szCs w:val="21"/>
                <w:highlight w:val="none"/>
              </w:rPr>
              <w:t>具有人力资源和社会保障厅颁发的高级（三级)安保员证书</w:t>
            </w:r>
            <w:r>
              <w:rPr>
                <w:rFonts w:hint="eastAsia"/>
                <w:color w:val="auto"/>
                <w:sz w:val="21"/>
                <w:szCs w:val="21"/>
                <w:highlight w:val="none"/>
                <w:lang w:val="en-US" w:eastAsia="zh-CN"/>
              </w:rPr>
              <w:t>或</w:t>
            </w:r>
            <w:r>
              <w:rPr>
                <w:rFonts w:hint="eastAsia" w:ascii="Times New Roman" w:hAnsi="Times New Roman" w:eastAsia="宋体"/>
                <w:color w:val="auto"/>
                <w:sz w:val="21"/>
                <w:szCs w:val="21"/>
                <w:highlight w:val="none"/>
              </w:rPr>
              <w:t>具有</w:t>
            </w:r>
            <w:r>
              <w:rPr>
                <w:rFonts w:ascii="宋体" w:hAnsi="宋体" w:eastAsia="宋体" w:cs="宋体"/>
                <w:color w:val="auto"/>
                <w:sz w:val="21"/>
                <w:szCs w:val="21"/>
                <w:highlight w:val="none"/>
              </w:rPr>
              <w:t>保卫管理员（三级 / 高级工）职业技能等级证书</w:t>
            </w:r>
            <w:r>
              <w:rPr>
                <w:rFonts w:hint="eastAsia" w:ascii="Times New Roman" w:hAnsi="Times New Roman" w:eastAsia="宋体"/>
                <w:color w:val="auto"/>
                <w:sz w:val="21"/>
                <w:szCs w:val="21"/>
                <w:highlight w:val="none"/>
              </w:rPr>
              <w:t>的的得2分</w:t>
            </w:r>
            <w:r>
              <w:rPr>
                <w:rFonts w:hint="eastAsia" w:ascii="Times New Roman" w:hAnsi="Times New Roman" w:eastAsia="宋体"/>
                <w:color w:val="auto"/>
                <w:sz w:val="21"/>
                <w:szCs w:val="21"/>
                <w:highlight w:val="none"/>
                <w:lang w:eastAsia="zh-CN"/>
              </w:rPr>
              <w:t>，</w:t>
            </w:r>
            <w:r>
              <w:rPr>
                <w:rFonts w:hint="eastAsia" w:ascii="Times New Roman" w:hAnsi="Times New Roman" w:eastAsia="宋体"/>
                <w:color w:val="auto"/>
                <w:sz w:val="21"/>
                <w:szCs w:val="21"/>
                <w:highlight w:val="none"/>
              </w:rPr>
              <w:t>须提供</w:t>
            </w:r>
            <w:r>
              <w:rPr>
                <w:rFonts w:hint="eastAsia" w:ascii="Times New Roman" w:hAnsi="Times New Roman"/>
                <w:color w:val="auto"/>
                <w:sz w:val="21"/>
                <w:szCs w:val="21"/>
                <w:highlight w:val="none"/>
                <w:lang w:val="en-US" w:eastAsia="zh-CN"/>
              </w:rPr>
              <w:t>有效期内</w:t>
            </w:r>
            <w:r>
              <w:rPr>
                <w:rFonts w:hint="eastAsia" w:ascii="Times New Roman" w:hAnsi="Times New Roman" w:eastAsia="宋体"/>
                <w:color w:val="auto"/>
                <w:sz w:val="21"/>
                <w:szCs w:val="21"/>
                <w:highlight w:val="none"/>
              </w:rPr>
              <w:t>证书复印件</w:t>
            </w:r>
            <w:r>
              <w:rPr>
                <w:rFonts w:hint="eastAsia" w:ascii="Times New Roman" w:hAnsi="Times New Roman" w:eastAsia="宋体" w:cs="Times New Roman"/>
                <w:color w:val="auto"/>
                <w:kern w:val="0"/>
                <w:sz w:val="21"/>
                <w:szCs w:val="21"/>
                <w:highlight w:val="none"/>
                <w:lang w:val="en-US" w:eastAsia="zh-CN"/>
              </w:rPr>
              <w:t>加盖公章</w:t>
            </w:r>
            <w:r>
              <w:rPr>
                <w:rFonts w:hint="eastAsia" w:ascii="Times New Roman" w:hAnsi="Times New Roman" w:eastAsia="宋体"/>
                <w:color w:val="auto"/>
                <w:sz w:val="21"/>
                <w:szCs w:val="21"/>
                <w:highlight w:val="none"/>
              </w:rPr>
              <w:t>。</w:t>
            </w:r>
            <w:r>
              <w:rPr>
                <w:rFonts w:hint="eastAsia" w:ascii="Times New Roman" w:hAnsi="Times New Roman" w:eastAsia="宋体" w:cs="Times New Roman"/>
                <w:color w:val="auto"/>
                <w:kern w:val="0"/>
                <w:sz w:val="21"/>
                <w:szCs w:val="21"/>
                <w:highlight w:val="none"/>
              </w:rPr>
              <w:t>须在投标文件中提供投标单位为其缴纳的近3个月的社保证明复印件</w:t>
            </w:r>
            <w:r>
              <w:rPr>
                <w:rFonts w:hint="eastAsia" w:ascii="Times New Roman" w:hAnsi="Times New Roman" w:eastAsia="宋体" w:cs="Times New Roman"/>
                <w:color w:val="auto"/>
                <w:kern w:val="0"/>
                <w:sz w:val="21"/>
                <w:szCs w:val="21"/>
                <w:highlight w:val="none"/>
                <w:lang w:val="en-US" w:eastAsia="zh-CN"/>
              </w:rPr>
              <w:t>加盖公章</w:t>
            </w:r>
            <w:r>
              <w:rPr>
                <w:rFonts w:hint="eastAsia" w:ascii="Times New Roman" w:hAnsi="Times New Roman" w:eastAsia="宋体" w:cs="Times New Roman"/>
                <w:color w:val="auto"/>
                <w:kern w:val="0"/>
                <w:sz w:val="21"/>
                <w:szCs w:val="21"/>
                <w:highlight w:val="none"/>
              </w:rPr>
              <w:t>，否则本项不得分。</w:t>
            </w:r>
          </w:p>
        </w:tc>
        <w:tc>
          <w:tcPr>
            <w:tcW w:w="666" w:type="dxa"/>
            <w:vAlign w:val="center"/>
          </w:tcPr>
          <w:p w14:paraId="7F8452AD">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r>
      <w:tr w14:paraId="524B7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Merge w:val="continue"/>
            <w:vAlign w:val="center"/>
          </w:tcPr>
          <w:p w14:paraId="03AF9F0C">
            <w:pPr>
              <w:pStyle w:val="37"/>
              <w:keepNext w:val="0"/>
              <w:keepLines w:val="0"/>
              <w:widowControl/>
              <w:suppressLineNumbers w:val="0"/>
              <w:spacing w:before="0" w:beforeAutospacing="0" w:after="0" w:afterAutospacing="0" w:line="360" w:lineRule="auto"/>
              <w:ind w:left="0" w:right="0"/>
              <w:jc w:val="both"/>
              <w:rPr>
                <w:rFonts w:hint="eastAsia" w:ascii="宋体" w:hAnsi="宋体" w:eastAsia="宋体" w:cs="宋体"/>
                <w:b w:val="0"/>
                <w:bCs w:val="0"/>
                <w:color w:val="auto"/>
                <w:kern w:val="2"/>
                <w:szCs w:val="22"/>
                <w:highlight w:val="none"/>
              </w:rPr>
            </w:pPr>
          </w:p>
        </w:tc>
        <w:tc>
          <w:tcPr>
            <w:tcW w:w="1455" w:type="dxa"/>
            <w:vMerge w:val="continue"/>
            <w:vAlign w:val="center"/>
          </w:tcPr>
          <w:p w14:paraId="681AC9E0">
            <w:pPr>
              <w:keepNext w:val="0"/>
              <w:keepLines w:val="0"/>
              <w:suppressLineNumbers w:val="0"/>
              <w:tabs>
                <w:tab w:val="left" w:pos="0"/>
              </w:tabs>
              <w:spacing w:before="0" w:beforeAutospacing="0" w:after="0" w:afterAutospacing="0" w:line="360" w:lineRule="auto"/>
              <w:ind w:left="0" w:right="0"/>
              <w:rPr>
                <w:rFonts w:hint="eastAsia" w:ascii="宋体" w:hAnsi="宋体" w:cs="宋体"/>
                <w:color w:val="auto"/>
                <w:szCs w:val="21"/>
                <w:highlight w:val="none"/>
              </w:rPr>
            </w:pPr>
          </w:p>
        </w:tc>
        <w:tc>
          <w:tcPr>
            <w:tcW w:w="1377" w:type="dxa"/>
            <w:vAlign w:val="center"/>
          </w:tcPr>
          <w:p w14:paraId="5A4F39B7">
            <w:pPr>
              <w:keepNext w:val="0"/>
              <w:keepLines w:val="0"/>
              <w:suppressLineNumbers w:val="0"/>
              <w:tabs>
                <w:tab w:val="left" w:pos="0"/>
              </w:tabs>
              <w:spacing w:before="0" w:beforeAutospacing="0" w:after="0" w:afterAutospacing="0" w:line="360" w:lineRule="auto"/>
              <w:ind w:left="0" w:right="0"/>
              <w:rPr>
                <w:rFonts w:hint="eastAsia" w:ascii="宋体" w:hAnsi="宋体" w:cs="宋体"/>
                <w:color w:val="auto"/>
                <w:szCs w:val="21"/>
                <w:highlight w:val="none"/>
              </w:rPr>
            </w:pPr>
            <w:r>
              <w:rPr>
                <w:rFonts w:hint="eastAsia" w:ascii="Times New Roman" w:hAnsi="Times New Roman" w:eastAsia="宋体" w:cs="Times New Roman"/>
                <w:color w:val="auto"/>
                <w:sz w:val="21"/>
                <w:szCs w:val="21"/>
                <w:highlight w:val="none"/>
                <w:lang w:val="en-US" w:eastAsia="zh-CN" w:bidi="ar"/>
              </w:rPr>
              <w:t>9.2</w:t>
            </w:r>
            <w:r>
              <w:rPr>
                <w:rFonts w:hint="eastAsia" w:ascii="Times New Roman" w:hAnsi="Times New Roman" w:eastAsia="宋体" w:cs="Times New Roman"/>
                <w:color w:val="auto"/>
                <w:sz w:val="21"/>
                <w:szCs w:val="21"/>
                <w:highlight w:val="none"/>
                <w:lang w:val="en-US" w:eastAsia="zh-CN" w:bidi="ar-SA"/>
              </w:rPr>
              <w:t>拟派安保人员的情况比较（8分）</w:t>
            </w:r>
          </w:p>
        </w:tc>
        <w:tc>
          <w:tcPr>
            <w:tcW w:w="5022" w:type="dxa"/>
            <w:vAlign w:val="center"/>
          </w:tcPr>
          <w:p w14:paraId="62EDDD97">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eastAsia="宋体" w:cs="Times New Roman"/>
                <w:color w:val="auto"/>
                <w:sz w:val="21"/>
                <w:szCs w:val="21"/>
                <w:highlight w:val="none"/>
                <w:lang w:val="en-US" w:eastAsia="zh-CN" w:bidi="ar-SA"/>
              </w:rPr>
              <w:t>根据投标人提供的各岗位人员配备细化方案（细化岗位分布、人数、年龄、文化程度、培训证书、任职资质、工作职责等）</w:t>
            </w:r>
          </w:p>
          <w:p w14:paraId="34924994">
            <w:pPr>
              <w:keepNext w:val="0"/>
              <w:keepLines w:val="0"/>
              <w:widowControl w:val="0"/>
              <w:suppressLineNumbers w:val="0"/>
              <w:spacing w:before="0" w:beforeAutospacing="0" w:after="0" w:afterAutospacing="0" w:line="360" w:lineRule="auto"/>
              <w:ind w:left="0" w:right="0"/>
              <w:jc w:val="both"/>
              <w:rPr>
                <w:rFonts w:hint="eastAsia" w:ascii="宋体" w:hAnsi="宋体" w:cs="宋体"/>
                <w:color w:val="auto"/>
                <w:szCs w:val="21"/>
                <w:highlight w:val="none"/>
              </w:rPr>
            </w:pPr>
            <w:r>
              <w:rPr>
                <w:rFonts w:hint="eastAsia" w:ascii="Times New Roman" w:hAnsi="Times New Roman" w:eastAsia="宋体" w:cs="Times New Roman"/>
                <w:color w:val="auto"/>
                <w:sz w:val="21"/>
                <w:szCs w:val="21"/>
                <w:highlight w:val="none"/>
                <w:lang w:val="en-US" w:eastAsia="zh-CN" w:bidi="ar-SA"/>
              </w:rPr>
              <w:t>人员投入完全符合项目实际，制度完备、可行性高、人员方案详尽</w:t>
            </w:r>
            <w:r>
              <w:rPr>
                <w:rFonts w:hint="eastAsia" w:cs="Times New Roman"/>
                <w:color w:val="auto"/>
                <w:sz w:val="21"/>
                <w:szCs w:val="21"/>
                <w:highlight w:val="none"/>
                <w:lang w:val="en-US" w:eastAsia="zh-CN" w:bidi="ar-SA"/>
              </w:rPr>
              <w:t>、</w:t>
            </w:r>
            <w:r>
              <w:rPr>
                <w:rFonts w:hint="eastAsia" w:ascii="宋体" w:hAnsi="宋体" w:cs="宋体"/>
                <w:color w:val="auto"/>
                <w:kern w:val="0"/>
                <w:sz w:val="21"/>
                <w:szCs w:val="21"/>
                <w:highlight w:val="none"/>
                <w:lang w:val="en-US" w:eastAsia="zh-CN"/>
              </w:rPr>
              <w:t>50</w:t>
            </w:r>
            <w:r>
              <w:rPr>
                <w:rFonts w:hint="eastAsia" w:ascii="宋体" w:hAnsi="宋体" w:eastAsia="宋体" w:cs="宋体"/>
                <w:color w:val="auto"/>
                <w:kern w:val="0"/>
                <w:sz w:val="21"/>
                <w:szCs w:val="21"/>
                <w:highlight w:val="none"/>
              </w:rPr>
              <w:t>岁以下安保人员</w:t>
            </w:r>
            <w:r>
              <w:rPr>
                <w:rFonts w:hint="eastAsia" w:ascii="宋体" w:hAnsi="宋体" w:cs="宋体"/>
                <w:color w:val="auto"/>
                <w:kern w:val="0"/>
                <w:sz w:val="21"/>
                <w:szCs w:val="21"/>
                <w:highlight w:val="none"/>
                <w:lang w:val="en-US" w:eastAsia="zh-CN"/>
              </w:rPr>
              <w:t>比例高</w:t>
            </w:r>
            <w:r>
              <w:rPr>
                <w:rFonts w:hint="eastAsia" w:ascii="Times New Roman" w:hAnsi="Times New Roman" w:eastAsia="宋体" w:cs="Times New Roman"/>
                <w:color w:val="auto"/>
                <w:sz w:val="21"/>
                <w:szCs w:val="21"/>
                <w:highlight w:val="none"/>
                <w:lang w:val="en-US" w:eastAsia="zh-CN" w:bidi="ar-SA"/>
              </w:rPr>
              <w:t>的得8分；人员投入基本符合项目实际，可行性良好、制度比较完备、人员方案比较清楚</w:t>
            </w:r>
            <w:r>
              <w:rPr>
                <w:rFonts w:hint="eastAsia" w:cs="Times New Roman"/>
                <w:color w:val="auto"/>
                <w:sz w:val="21"/>
                <w:szCs w:val="21"/>
                <w:highlight w:val="none"/>
                <w:lang w:val="en-US" w:eastAsia="zh-CN" w:bidi="ar-SA"/>
              </w:rPr>
              <w:t>、</w:t>
            </w:r>
            <w:r>
              <w:rPr>
                <w:rFonts w:hint="eastAsia" w:ascii="宋体" w:hAnsi="宋体" w:cs="宋体"/>
                <w:color w:val="auto"/>
                <w:kern w:val="0"/>
                <w:sz w:val="21"/>
                <w:szCs w:val="21"/>
                <w:highlight w:val="none"/>
                <w:lang w:val="en-US" w:eastAsia="zh-CN"/>
              </w:rPr>
              <w:t>50</w:t>
            </w:r>
            <w:r>
              <w:rPr>
                <w:rFonts w:hint="eastAsia" w:ascii="宋体" w:hAnsi="宋体" w:eastAsia="宋体" w:cs="宋体"/>
                <w:color w:val="auto"/>
                <w:kern w:val="0"/>
                <w:sz w:val="21"/>
                <w:szCs w:val="21"/>
                <w:highlight w:val="none"/>
              </w:rPr>
              <w:t>岁以下安保人员</w:t>
            </w:r>
            <w:r>
              <w:rPr>
                <w:rFonts w:hint="eastAsia" w:ascii="宋体" w:hAnsi="宋体" w:cs="宋体"/>
                <w:color w:val="auto"/>
                <w:kern w:val="0"/>
                <w:sz w:val="21"/>
                <w:szCs w:val="21"/>
                <w:highlight w:val="none"/>
                <w:lang w:val="en-US" w:eastAsia="zh-CN"/>
              </w:rPr>
              <w:t>比例较高</w:t>
            </w:r>
            <w:r>
              <w:rPr>
                <w:rFonts w:hint="eastAsia" w:ascii="Times New Roman" w:hAnsi="Times New Roman" w:eastAsia="宋体" w:cs="Times New Roman"/>
                <w:color w:val="auto"/>
                <w:sz w:val="21"/>
                <w:szCs w:val="21"/>
                <w:highlight w:val="none"/>
                <w:lang w:val="en-US" w:eastAsia="zh-CN" w:bidi="ar-SA"/>
              </w:rPr>
              <w:t>得6分；人员投入一般，可行性一般，</w:t>
            </w:r>
            <w:r>
              <w:rPr>
                <w:rFonts w:hint="eastAsia" w:ascii="宋体" w:hAnsi="宋体" w:cs="宋体"/>
                <w:color w:val="auto"/>
                <w:kern w:val="0"/>
                <w:sz w:val="21"/>
                <w:szCs w:val="21"/>
                <w:highlight w:val="none"/>
                <w:lang w:val="en-US" w:eastAsia="zh-CN"/>
              </w:rPr>
              <w:t>50</w:t>
            </w:r>
            <w:r>
              <w:rPr>
                <w:rFonts w:hint="eastAsia" w:ascii="宋体" w:hAnsi="宋体" w:eastAsia="宋体" w:cs="宋体"/>
                <w:color w:val="auto"/>
                <w:kern w:val="0"/>
                <w:sz w:val="21"/>
                <w:szCs w:val="21"/>
                <w:highlight w:val="none"/>
              </w:rPr>
              <w:t>岁以下安保人员</w:t>
            </w:r>
            <w:r>
              <w:rPr>
                <w:rFonts w:hint="eastAsia" w:ascii="宋体" w:hAnsi="宋体" w:cs="宋体"/>
                <w:color w:val="auto"/>
                <w:kern w:val="0"/>
                <w:sz w:val="21"/>
                <w:szCs w:val="21"/>
                <w:highlight w:val="none"/>
                <w:lang w:val="en-US" w:eastAsia="zh-CN"/>
              </w:rPr>
              <w:t>比例较低，</w:t>
            </w:r>
            <w:r>
              <w:rPr>
                <w:rFonts w:hint="eastAsia" w:ascii="Times New Roman" w:hAnsi="Times New Roman" w:eastAsia="宋体" w:cs="Times New Roman"/>
                <w:color w:val="auto"/>
                <w:sz w:val="21"/>
                <w:szCs w:val="21"/>
                <w:highlight w:val="none"/>
                <w:lang w:val="en-US" w:eastAsia="zh-CN" w:bidi="ar-SA"/>
              </w:rPr>
              <w:t>基本能满足项目实施需要的得4分，人员投入较差、可行性较差，方案较差，基本无可行性的得2分。</w:t>
            </w:r>
          </w:p>
        </w:tc>
        <w:tc>
          <w:tcPr>
            <w:tcW w:w="666" w:type="dxa"/>
            <w:vAlign w:val="center"/>
          </w:tcPr>
          <w:p w14:paraId="72E3EEE7">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8</w:t>
            </w:r>
          </w:p>
        </w:tc>
      </w:tr>
      <w:tr w14:paraId="7300C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53" w:type="dxa"/>
            <w:vAlign w:val="center"/>
          </w:tcPr>
          <w:p w14:paraId="64969CE0">
            <w:pPr>
              <w:pStyle w:val="37"/>
              <w:keepNext w:val="0"/>
              <w:keepLines w:val="0"/>
              <w:widowControl/>
              <w:suppressLineNumbers w:val="0"/>
              <w:spacing w:before="0" w:beforeAutospacing="0" w:after="0" w:afterAutospacing="0" w:line="360" w:lineRule="auto"/>
              <w:ind w:left="0" w:right="0"/>
              <w:jc w:val="both"/>
              <w:rPr>
                <w:rFonts w:hint="eastAsia" w:ascii="宋体" w:hAnsi="宋体" w:eastAsia="宋体" w:cs="宋体"/>
                <w:b w:val="0"/>
                <w:bCs w:val="0"/>
                <w:color w:val="auto"/>
                <w:kern w:val="2"/>
                <w:szCs w:val="22"/>
                <w:highlight w:val="none"/>
                <w:lang w:val="en-US" w:eastAsia="zh-CN"/>
              </w:rPr>
            </w:pPr>
            <w:r>
              <w:rPr>
                <w:rFonts w:hint="eastAsia" w:ascii="宋体" w:hAnsi="宋体" w:eastAsia="宋体" w:cs="宋体"/>
                <w:b w:val="0"/>
                <w:bCs w:val="0"/>
                <w:color w:val="auto"/>
                <w:kern w:val="2"/>
                <w:szCs w:val="22"/>
                <w:highlight w:val="none"/>
                <w:lang w:val="en-US" w:eastAsia="zh-CN"/>
              </w:rPr>
              <w:t>二</w:t>
            </w:r>
          </w:p>
        </w:tc>
        <w:tc>
          <w:tcPr>
            <w:tcW w:w="7854" w:type="dxa"/>
            <w:gridSpan w:val="3"/>
            <w:vAlign w:val="center"/>
          </w:tcPr>
          <w:p w14:paraId="28E0CD92">
            <w:pPr>
              <w:keepNext w:val="0"/>
              <w:keepLines w:val="0"/>
              <w:suppressLineNumbers w:val="0"/>
              <w:tabs>
                <w:tab w:val="left" w:pos="0"/>
              </w:tabs>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eastAsia="宋体" w:cs="Times New Roman"/>
                <w:bCs/>
                <w:color w:val="auto"/>
                <w:szCs w:val="21"/>
                <w:highlight w:val="none"/>
              </w:rPr>
              <w:t>投标人管理体系资质证书比较（6分）</w:t>
            </w:r>
          </w:p>
        </w:tc>
        <w:tc>
          <w:tcPr>
            <w:tcW w:w="666" w:type="dxa"/>
            <w:vAlign w:val="center"/>
          </w:tcPr>
          <w:p w14:paraId="0A8C87E5">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szCs w:val="21"/>
                <w:highlight w:val="none"/>
              </w:rPr>
            </w:pPr>
          </w:p>
        </w:tc>
      </w:tr>
      <w:tr w14:paraId="1F10A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7" w:hRule="atLeast"/>
        </w:trPr>
        <w:tc>
          <w:tcPr>
            <w:tcW w:w="753" w:type="dxa"/>
            <w:vAlign w:val="center"/>
          </w:tcPr>
          <w:p w14:paraId="16F6DC42">
            <w:pPr>
              <w:pStyle w:val="37"/>
              <w:keepNext w:val="0"/>
              <w:keepLines w:val="0"/>
              <w:widowControl/>
              <w:suppressLineNumbers w:val="0"/>
              <w:spacing w:before="0" w:beforeAutospacing="0" w:after="0" w:afterAutospacing="0" w:line="360" w:lineRule="auto"/>
              <w:ind w:left="0" w:right="0"/>
              <w:jc w:val="both"/>
              <w:rPr>
                <w:rFonts w:hint="eastAsia" w:ascii="宋体" w:hAnsi="宋体" w:eastAsia="宋体" w:cs="宋体"/>
                <w:b w:val="0"/>
                <w:bCs w:val="0"/>
                <w:color w:val="auto"/>
                <w:kern w:val="2"/>
                <w:szCs w:val="22"/>
                <w:highlight w:val="none"/>
                <w:lang w:val="en-US" w:eastAsia="zh-CN"/>
              </w:rPr>
            </w:pPr>
            <w:r>
              <w:rPr>
                <w:rFonts w:hint="eastAsia" w:ascii="宋体" w:hAnsi="宋体" w:eastAsia="宋体" w:cs="宋体"/>
                <w:b w:val="0"/>
                <w:bCs w:val="0"/>
                <w:color w:val="auto"/>
                <w:kern w:val="2"/>
                <w:szCs w:val="22"/>
                <w:highlight w:val="none"/>
                <w:lang w:val="en-US" w:eastAsia="zh-CN"/>
              </w:rPr>
              <w:t>1</w:t>
            </w:r>
          </w:p>
        </w:tc>
        <w:tc>
          <w:tcPr>
            <w:tcW w:w="7854" w:type="dxa"/>
            <w:gridSpan w:val="3"/>
            <w:vAlign w:val="center"/>
          </w:tcPr>
          <w:p w14:paraId="10ABAE00">
            <w:pPr>
              <w:keepNext w:val="0"/>
              <w:keepLines w:val="0"/>
              <w:numPr>
                <w:ilvl w:val="0"/>
                <w:numId w:val="0"/>
              </w:numPr>
              <w:suppressLineNumbers w:val="0"/>
              <w:spacing w:before="0" w:beforeAutospacing="0" w:after="0" w:afterAutospacing="0" w:line="360" w:lineRule="auto"/>
              <w:ind w:left="0" w:right="0"/>
              <w:rPr>
                <w:rFonts w:hint="default" w:ascii="宋体" w:hAnsi="宋体" w:eastAsia="宋体" w:cs="Times New Roman"/>
                <w:bCs/>
                <w:color w:val="auto"/>
                <w:kern w:val="0"/>
                <w:szCs w:val="21"/>
                <w:highlight w:val="none"/>
                <w:lang w:val="en-US" w:eastAsia="zh-CN"/>
              </w:rPr>
            </w:pPr>
            <w:r>
              <w:rPr>
                <w:rFonts w:hint="eastAsia" w:ascii="宋体" w:hAnsi="宋体" w:eastAsia="宋体" w:cs="Times New Roman"/>
                <w:bCs/>
                <w:color w:val="auto"/>
                <w:kern w:val="0"/>
                <w:szCs w:val="21"/>
                <w:highlight w:val="none"/>
              </w:rPr>
              <w:t>质量理体系证书</w:t>
            </w:r>
            <w:r>
              <w:rPr>
                <w:rFonts w:hint="eastAsia" w:ascii="宋体" w:hAnsi="宋体" w:eastAsia="宋体" w:cs="Times New Roman"/>
                <w:bCs/>
                <w:color w:val="auto"/>
                <w:kern w:val="0"/>
                <w:szCs w:val="21"/>
                <w:highlight w:val="none"/>
                <w:lang w:val="en-US" w:eastAsia="zh-CN"/>
              </w:rPr>
              <w:t>2分。</w:t>
            </w:r>
          </w:p>
          <w:p w14:paraId="1A2EBEAD">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eastAsia="宋体" w:cs="Times New Roman"/>
                <w:bCs/>
                <w:color w:val="auto"/>
                <w:kern w:val="0"/>
                <w:szCs w:val="21"/>
                <w:highlight w:val="none"/>
                <w:lang w:val="en-US" w:eastAsia="zh-CN"/>
              </w:rPr>
              <w:t>注：</w:t>
            </w:r>
            <w:r>
              <w:rPr>
                <w:rFonts w:hint="eastAsia" w:ascii="宋体" w:hAnsi="宋体" w:eastAsia="宋体" w:cs="Times New Roman"/>
                <w:bCs/>
                <w:color w:val="auto"/>
                <w:kern w:val="0"/>
                <w:szCs w:val="21"/>
                <w:highlight w:val="none"/>
              </w:rPr>
              <w:t>该管理体系认证业务范围需与本项目服务内容相关，证书须在有效期内，认证机构需国家认监委备案的合法机构，提供证书复印件和中国国家认证认可监督管理委员会官网查询页面截图</w:t>
            </w:r>
            <w:r>
              <w:rPr>
                <w:rFonts w:hint="eastAsia" w:ascii="宋体" w:hAnsi="宋体" w:cs="Times New Roman"/>
                <w:bCs/>
                <w:color w:val="auto"/>
                <w:kern w:val="0"/>
                <w:szCs w:val="21"/>
                <w:highlight w:val="none"/>
                <w:lang w:val="en-US" w:eastAsia="zh-CN"/>
              </w:rPr>
              <w:t>加盖公章</w:t>
            </w:r>
            <w:r>
              <w:rPr>
                <w:rFonts w:hint="eastAsia" w:ascii="宋体" w:hAnsi="宋体" w:eastAsia="宋体" w:cs="Times New Roman"/>
                <w:bCs/>
                <w:color w:val="auto"/>
                <w:kern w:val="0"/>
                <w:szCs w:val="21"/>
                <w:highlight w:val="none"/>
              </w:rPr>
              <w:t>否则不得分。</w:t>
            </w:r>
          </w:p>
        </w:tc>
        <w:tc>
          <w:tcPr>
            <w:tcW w:w="666" w:type="dxa"/>
            <w:vAlign w:val="center"/>
          </w:tcPr>
          <w:p w14:paraId="5C0EF722">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r>
      <w:tr w14:paraId="192F3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trPr>
        <w:tc>
          <w:tcPr>
            <w:tcW w:w="753" w:type="dxa"/>
            <w:vAlign w:val="center"/>
          </w:tcPr>
          <w:p w14:paraId="04F63001">
            <w:pPr>
              <w:pStyle w:val="37"/>
              <w:keepNext w:val="0"/>
              <w:keepLines w:val="0"/>
              <w:widowControl/>
              <w:suppressLineNumbers w:val="0"/>
              <w:spacing w:before="0" w:beforeAutospacing="0" w:after="0" w:afterAutospacing="0" w:line="360" w:lineRule="auto"/>
              <w:ind w:left="0" w:right="0"/>
              <w:jc w:val="both"/>
              <w:rPr>
                <w:rFonts w:hint="eastAsia" w:ascii="宋体" w:hAnsi="宋体" w:eastAsia="宋体" w:cs="宋体"/>
                <w:b w:val="0"/>
                <w:bCs w:val="0"/>
                <w:color w:val="auto"/>
                <w:kern w:val="2"/>
                <w:szCs w:val="22"/>
                <w:highlight w:val="none"/>
                <w:lang w:val="en-US" w:eastAsia="zh-CN"/>
              </w:rPr>
            </w:pPr>
            <w:r>
              <w:rPr>
                <w:rFonts w:hint="eastAsia" w:ascii="宋体" w:hAnsi="宋体" w:eastAsia="宋体" w:cs="宋体"/>
                <w:b w:val="0"/>
                <w:bCs w:val="0"/>
                <w:color w:val="auto"/>
                <w:kern w:val="2"/>
                <w:szCs w:val="22"/>
                <w:highlight w:val="none"/>
                <w:lang w:val="en-US" w:eastAsia="zh-CN"/>
              </w:rPr>
              <w:t>2</w:t>
            </w:r>
          </w:p>
        </w:tc>
        <w:tc>
          <w:tcPr>
            <w:tcW w:w="7854" w:type="dxa"/>
            <w:gridSpan w:val="3"/>
            <w:vAlign w:val="center"/>
          </w:tcPr>
          <w:p w14:paraId="54906D0E">
            <w:pPr>
              <w:keepNext w:val="0"/>
              <w:keepLines w:val="0"/>
              <w:suppressLineNumbers w:val="0"/>
              <w:spacing w:before="0" w:beforeAutospacing="0" w:after="0" w:afterAutospacing="0" w:line="360" w:lineRule="auto"/>
              <w:ind w:left="0" w:right="0"/>
              <w:rPr>
                <w:rFonts w:hint="default" w:ascii="宋体" w:hAnsi="宋体" w:eastAsia="宋体" w:cs="Times New Roman"/>
                <w:bCs/>
                <w:color w:val="auto"/>
                <w:kern w:val="0"/>
                <w:szCs w:val="21"/>
                <w:highlight w:val="none"/>
              </w:rPr>
            </w:pPr>
            <w:r>
              <w:rPr>
                <w:rFonts w:hint="eastAsia" w:ascii="宋体" w:hAnsi="宋体" w:eastAsia="宋体" w:cs="Times New Roman"/>
                <w:bCs/>
                <w:color w:val="auto"/>
                <w:kern w:val="0"/>
                <w:szCs w:val="21"/>
                <w:highlight w:val="none"/>
              </w:rPr>
              <w:t>环境管理体系证书</w:t>
            </w:r>
            <w:r>
              <w:rPr>
                <w:rFonts w:hint="eastAsia" w:ascii="宋体" w:hAnsi="宋体" w:eastAsia="宋体" w:cs="Times New Roman"/>
                <w:bCs/>
                <w:color w:val="auto"/>
                <w:kern w:val="0"/>
                <w:szCs w:val="21"/>
                <w:highlight w:val="none"/>
                <w:lang w:val="en-US" w:eastAsia="zh-CN"/>
              </w:rPr>
              <w:t>2分</w:t>
            </w:r>
            <w:r>
              <w:rPr>
                <w:rFonts w:hint="eastAsia" w:ascii="宋体" w:hAnsi="宋体" w:cs="Times New Roman"/>
                <w:bCs/>
                <w:color w:val="auto"/>
                <w:kern w:val="0"/>
                <w:szCs w:val="21"/>
                <w:highlight w:val="none"/>
                <w:lang w:val="en-US" w:eastAsia="zh-CN"/>
              </w:rPr>
              <w:t>。</w:t>
            </w:r>
          </w:p>
          <w:p w14:paraId="656BE64E">
            <w:pPr>
              <w:keepNext w:val="0"/>
              <w:keepLines w:val="0"/>
              <w:suppressLineNumbers w:val="0"/>
              <w:tabs>
                <w:tab w:val="left" w:pos="0"/>
              </w:tabs>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eastAsia="宋体" w:cs="Times New Roman"/>
                <w:bCs/>
                <w:color w:val="auto"/>
                <w:kern w:val="0"/>
                <w:szCs w:val="21"/>
                <w:highlight w:val="none"/>
                <w:lang w:val="en-US" w:eastAsia="zh-CN"/>
              </w:rPr>
              <w:t>注：</w:t>
            </w:r>
            <w:r>
              <w:rPr>
                <w:rFonts w:hint="eastAsia" w:ascii="宋体" w:hAnsi="宋体" w:eastAsia="宋体" w:cs="Times New Roman"/>
                <w:bCs/>
                <w:color w:val="auto"/>
                <w:kern w:val="0"/>
                <w:szCs w:val="21"/>
                <w:highlight w:val="none"/>
              </w:rPr>
              <w:t>该管理体系认证业务范围需与本项目服务内容相关，证书须在有效期内，认证机构需国家认监委备案的合法机构，提供证书复印件和中国国家认证认可监督管理委员会官网查询页面截图</w:t>
            </w:r>
            <w:r>
              <w:rPr>
                <w:rFonts w:hint="eastAsia" w:ascii="宋体" w:hAnsi="宋体" w:cs="Times New Roman"/>
                <w:bCs/>
                <w:color w:val="auto"/>
                <w:kern w:val="0"/>
                <w:szCs w:val="21"/>
                <w:highlight w:val="none"/>
                <w:lang w:val="en-US" w:eastAsia="zh-CN"/>
              </w:rPr>
              <w:t>加盖公章</w:t>
            </w:r>
            <w:r>
              <w:rPr>
                <w:rFonts w:hint="eastAsia" w:ascii="宋体" w:hAnsi="宋体" w:eastAsia="宋体" w:cs="Times New Roman"/>
                <w:bCs/>
                <w:color w:val="auto"/>
                <w:kern w:val="0"/>
                <w:szCs w:val="21"/>
                <w:highlight w:val="none"/>
              </w:rPr>
              <w:t>否则不得分。</w:t>
            </w:r>
          </w:p>
        </w:tc>
        <w:tc>
          <w:tcPr>
            <w:tcW w:w="666" w:type="dxa"/>
            <w:vAlign w:val="center"/>
          </w:tcPr>
          <w:p w14:paraId="21308759">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r>
      <w:tr w14:paraId="60B6F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73E2CCD9">
            <w:pPr>
              <w:pStyle w:val="37"/>
              <w:keepNext w:val="0"/>
              <w:keepLines w:val="0"/>
              <w:widowControl/>
              <w:suppressLineNumbers w:val="0"/>
              <w:spacing w:before="0" w:beforeAutospacing="0" w:after="0" w:afterAutospacing="0" w:line="360" w:lineRule="auto"/>
              <w:ind w:left="0" w:right="0"/>
              <w:jc w:val="both"/>
              <w:rPr>
                <w:rFonts w:hint="eastAsia" w:ascii="宋体" w:hAnsi="宋体" w:eastAsia="宋体" w:cs="宋体"/>
                <w:b w:val="0"/>
                <w:bCs w:val="0"/>
                <w:color w:val="auto"/>
                <w:kern w:val="2"/>
                <w:szCs w:val="22"/>
                <w:highlight w:val="none"/>
                <w:lang w:val="en-US" w:eastAsia="zh-CN"/>
              </w:rPr>
            </w:pPr>
            <w:r>
              <w:rPr>
                <w:rFonts w:hint="eastAsia" w:ascii="宋体" w:hAnsi="宋体" w:eastAsia="宋体" w:cs="宋体"/>
                <w:b w:val="0"/>
                <w:bCs w:val="0"/>
                <w:color w:val="auto"/>
                <w:kern w:val="2"/>
                <w:szCs w:val="22"/>
                <w:highlight w:val="none"/>
                <w:lang w:val="en-US" w:eastAsia="zh-CN"/>
              </w:rPr>
              <w:t>3</w:t>
            </w:r>
          </w:p>
        </w:tc>
        <w:tc>
          <w:tcPr>
            <w:tcW w:w="7854" w:type="dxa"/>
            <w:gridSpan w:val="3"/>
            <w:vAlign w:val="center"/>
          </w:tcPr>
          <w:p w14:paraId="1828EFEA">
            <w:pPr>
              <w:keepNext w:val="0"/>
              <w:keepLines w:val="0"/>
              <w:suppressLineNumbers w:val="0"/>
              <w:spacing w:before="0" w:beforeAutospacing="0" w:after="0" w:afterAutospacing="0" w:line="360" w:lineRule="auto"/>
              <w:ind w:left="0" w:right="0"/>
              <w:rPr>
                <w:rFonts w:hint="default" w:ascii="宋体" w:hAnsi="宋体" w:eastAsia="宋体" w:cs="Times New Roman"/>
                <w:bCs/>
                <w:color w:val="auto"/>
                <w:kern w:val="0"/>
                <w:szCs w:val="21"/>
                <w:highlight w:val="none"/>
              </w:rPr>
            </w:pPr>
            <w:r>
              <w:rPr>
                <w:rFonts w:hint="eastAsia" w:ascii="宋体" w:hAnsi="宋体" w:eastAsia="宋体" w:cs="Times New Roman"/>
                <w:bCs/>
                <w:color w:val="auto"/>
                <w:kern w:val="0"/>
                <w:szCs w:val="21"/>
                <w:highlight w:val="none"/>
              </w:rPr>
              <w:t>职业健康安全管理体系认证</w:t>
            </w:r>
            <w:r>
              <w:rPr>
                <w:rFonts w:hint="eastAsia" w:ascii="宋体" w:hAnsi="宋体" w:eastAsia="宋体" w:cs="Times New Roman"/>
                <w:bCs/>
                <w:color w:val="auto"/>
                <w:kern w:val="0"/>
                <w:szCs w:val="21"/>
                <w:highlight w:val="none"/>
                <w:lang w:val="en-US" w:eastAsia="zh-CN"/>
              </w:rPr>
              <w:t>2分</w:t>
            </w:r>
            <w:r>
              <w:rPr>
                <w:rFonts w:hint="eastAsia" w:ascii="宋体" w:hAnsi="宋体" w:cs="Times New Roman"/>
                <w:bCs/>
                <w:color w:val="auto"/>
                <w:kern w:val="0"/>
                <w:szCs w:val="21"/>
                <w:highlight w:val="none"/>
                <w:lang w:val="en-US" w:eastAsia="zh-CN"/>
              </w:rPr>
              <w:t>。</w:t>
            </w:r>
          </w:p>
          <w:p w14:paraId="42F9E007">
            <w:pPr>
              <w:keepNext w:val="0"/>
              <w:keepLines w:val="0"/>
              <w:suppressLineNumbers w:val="0"/>
              <w:tabs>
                <w:tab w:val="left" w:pos="0"/>
              </w:tabs>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eastAsia="宋体" w:cs="Times New Roman"/>
                <w:bCs/>
                <w:color w:val="auto"/>
                <w:kern w:val="0"/>
                <w:szCs w:val="21"/>
                <w:highlight w:val="none"/>
                <w:lang w:val="en-US" w:eastAsia="zh-CN"/>
              </w:rPr>
              <w:t>注：</w:t>
            </w:r>
            <w:r>
              <w:rPr>
                <w:rFonts w:hint="eastAsia" w:ascii="宋体" w:hAnsi="宋体" w:eastAsia="宋体" w:cs="Times New Roman"/>
                <w:bCs/>
                <w:color w:val="auto"/>
                <w:kern w:val="0"/>
                <w:szCs w:val="21"/>
                <w:highlight w:val="none"/>
              </w:rPr>
              <w:t>该管理体系认证业务范围需与本项目服务内容相关，证书须在有效期内，认证机构需国家认监委备案的合法机构，提供证书复印件和中国国家认证认可监督管理委员会官网查询页面截图</w:t>
            </w:r>
            <w:r>
              <w:rPr>
                <w:rFonts w:hint="eastAsia" w:ascii="宋体" w:hAnsi="宋体" w:cs="Times New Roman"/>
                <w:bCs/>
                <w:color w:val="auto"/>
                <w:kern w:val="0"/>
                <w:szCs w:val="21"/>
                <w:highlight w:val="none"/>
                <w:lang w:val="en-US" w:eastAsia="zh-CN"/>
              </w:rPr>
              <w:t>加盖公章</w:t>
            </w:r>
            <w:r>
              <w:rPr>
                <w:rFonts w:hint="eastAsia" w:ascii="宋体" w:hAnsi="宋体" w:eastAsia="宋体" w:cs="Times New Roman"/>
                <w:bCs/>
                <w:color w:val="auto"/>
                <w:kern w:val="0"/>
                <w:szCs w:val="21"/>
                <w:highlight w:val="none"/>
              </w:rPr>
              <w:t>否则不得分。</w:t>
            </w:r>
          </w:p>
        </w:tc>
        <w:tc>
          <w:tcPr>
            <w:tcW w:w="666" w:type="dxa"/>
            <w:vAlign w:val="center"/>
          </w:tcPr>
          <w:p w14:paraId="534AB8A0">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r>
    </w:tbl>
    <w:p w14:paraId="7B83AA24">
      <w:pPr>
        <w:adjustRightInd w:val="0"/>
        <w:spacing w:line="360" w:lineRule="auto"/>
        <w:rPr>
          <w:rFonts w:ascii="宋体" w:hAnsi="宋体" w:cs="宋体"/>
          <w:b w:val="0"/>
          <w:bCs/>
          <w:color w:val="auto"/>
          <w:szCs w:val="21"/>
          <w:highlight w:val="none"/>
        </w:rPr>
      </w:pPr>
      <w:r>
        <w:rPr>
          <w:rFonts w:hint="eastAsia" w:ascii="宋体" w:hAnsi="宋体" w:cs="宋体"/>
          <w:b w:val="0"/>
          <w:bCs/>
          <w:color w:val="auto"/>
          <w:szCs w:val="21"/>
          <w:highlight w:val="none"/>
        </w:rPr>
        <w:t>备注：</w:t>
      </w:r>
    </w:p>
    <w:p w14:paraId="6E78C644">
      <w:pPr>
        <w:adjustRightInd w:val="0"/>
        <w:spacing w:line="360" w:lineRule="auto"/>
        <w:ind w:firstLine="420" w:firstLineChars="200"/>
        <w:rPr>
          <w:rFonts w:ascii="宋体" w:hAnsi="宋体" w:cs="宋体"/>
          <w:b w:val="0"/>
          <w:bCs/>
          <w:color w:val="auto"/>
          <w:szCs w:val="21"/>
          <w:highlight w:val="none"/>
        </w:rPr>
      </w:pPr>
      <w:r>
        <w:rPr>
          <w:rFonts w:ascii="宋体" w:hAnsi="宋体" w:cs="宋体"/>
          <w:b w:val="0"/>
          <w:bCs/>
          <w:color w:val="auto"/>
          <w:szCs w:val="21"/>
          <w:highlight w:val="none"/>
        </w:rPr>
        <w:t>1</w:t>
      </w:r>
      <w:r>
        <w:rPr>
          <w:rFonts w:hint="eastAsia" w:ascii="宋体" w:hAnsi="宋体" w:cs="宋体"/>
          <w:b w:val="0"/>
          <w:bCs/>
          <w:color w:val="auto"/>
          <w:szCs w:val="21"/>
          <w:highlight w:val="none"/>
        </w:rPr>
        <w:t>.针对评分标准中评分的每一条，供应商均应提供相关资料并作出相应说明供评委评判，不提供相关资料的视为不具备该项得分的条件。</w:t>
      </w:r>
    </w:p>
    <w:p w14:paraId="6F834E12">
      <w:pPr>
        <w:adjustRightInd w:val="0"/>
        <w:spacing w:line="360" w:lineRule="auto"/>
        <w:ind w:firstLine="420" w:firstLineChars="200"/>
        <w:rPr>
          <w:rFonts w:ascii="宋体" w:hAnsi="宋体" w:cs="宋体"/>
          <w:b w:val="0"/>
          <w:bCs/>
          <w:color w:val="auto"/>
          <w:szCs w:val="21"/>
          <w:highlight w:val="none"/>
        </w:rPr>
      </w:pPr>
      <w:r>
        <w:rPr>
          <w:rFonts w:ascii="宋体" w:hAnsi="宋体" w:cs="宋体"/>
          <w:b w:val="0"/>
          <w:bCs/>
          <w:color w:val="auto"/>
          <w:szCs w:val="21"/>
          <w:highlight w:val="none"/>
        </w:rPr>
        <w:t>2</w:t>
      </w:r>
      <w:r>
        <w:rPr>
          <w:rFonts w:hint="eastAsia" w:ascii="宋体" w:hAnsi="宋体" w:cs="宋体"/>
          <w:b w:val="0"/>
          <w:bCs/>
          <w:color w:val="auto"/>
          <w:szCs w:val="21"/>
          <w:highlight w:val="none"/>
        </w:rPr>
        <w:t>.响应文件中如出现前后不一致时，评委有权请供应商澄清说明，澄清说明事项涉及评分时，评委有权酌情扣分。</w:t>
      </w:r>
    </w:p>
    <w:p w14:paraId="33B21D31">
      <w:pPr>
        <w:adjustRightInd w:val="0"/>
        <w:spacing w:line="360" w:lineRule="auto"/>
        <w:ind w:firstLine="420" w:firstLineChars="200"/>
        <w:rPr>
          <w:rFonts w:ascii="宋体" w:hAnsi="宋体"/>
          <w:b w:val="0"/>
          <w:bCs/>
          <w:color w:val="auto"/>
          <w:sz w:val="44"/>
          <w:szCs w:val="44"/>
          <w:highlight w:val="none"/>
        </w:rPr>
      </w:pPr>
      <w:r>
        <w:rPr>
          <w:rFonts w:ascii="宋体" w:hAnsi="宋体" w:cs="宋体"/>
          <w:b w:val="0"/>
          <w:bCs/>
          <w:color w:val="auto"/>
          <w:szCs w:val="21"/>
          <w:highlight w:val="none"/>
        </w:rPr>
        <w:t>3</w:t>
      </w:r>
      <w:r>
        <w:rPr>
          <w:rFonts w:hint="eastAsia" w:ascii="宋体" w:hAnsi="宋体" w:cs="宋体"/>
          <w:b w:val="0"/>
          <w:bCs/>
          <w:color w:val="auto"/>
          <w:szCs w:val="21"/>
          <w:highlight w:val="none"/>
        </w:rPr>
        <w:t>.供应商必须保证全部响应资料的真实性，如有虚假或对采购文件所要求说明的情况故意隐瞒或虚报，视为不实质性响应采购文件，为无效响应，已成交的将取消成交资格，按“提供虚假材料谋取成交”相关处理办法进行处罚。</w:t>
      </w:r>
    </w:p>
    <w:p w14:paraId="7858D08F">
      <w:pPr>
        <w:pStyle w:val="39"/>
        <w:ind w:firstLine="0" w:firstLineChars="0"/>
        <w:jc w:val="right"/>
        <w:outlineLvl w:val="0"/>
        <w:rPr>
          <w:rFonts w:hint="eastAsia" w:ascii="Cambria" w:hAnsi="Cambria" w:cs="宋体"/>
          <w:b/>
          <w:bCs/>
          <w:color w:val="auto"/>
          <w:highlight w:val="none"/>
          <w:lang w:val="en-US"/>
        </w:rPr>
      </w:pPr>
      <w:bookmarkStart w:id="57" w:name="_Toc2166"/>
      <w:r>
        <w:rPr>
          <w:rFonts w:hint="eastAsia" w:ascii="Cambria" w:hAnsi="Cambria" w:cs="宋体"/>
          <w:b/>
          <w:bCs/>
          <w:color w:val="auto"/>
          <w:highlight w:val="none"/>
          <w:lang w:val="en-US"/>
        </w:rPr>
        <w:t>（全文完）</w:t>
      </w:r>
      <w:bookmarkEnd w:id="57"/>
    </w:p>
    <w:p w14:paraId="36D53C4F">
      <w:pPr>
        <w:pStyle w:val="39"/>
        <w:ind w:firstLine="0" w:firstLineChars="0"/>
        <w:jc w:val="right"/>
        <w:outlineLvl w:val="0"/>
        <w:rPr>
          <w:rFonts w:hint="eastAsia" w:ascii="Cambria" w:hAnsi="Cambria" w:cs="宋体"/>
          <w:b/>
          <w:bCs/>
          <w:color w:val="auto"/>
          <w:highlight w:val="none"/>
          <w:lang w:val="en-US"/>
        </w:rPr>
      </w:pPr>
    </w:p>
    <w:sectPr>
      <w:footerReference r:id="rId10" w:type="first"/>
      <w:footerReference r:id="rId9" w:type="default"/>
      <w:pgSz w:w="11906" w:h="16838"/>
      <w:pgMar w:top="1440" w:right="1558" w:bottom="1440" w:left="1588" w:header="794" w:footer="850" w:gutter="113"/>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0B9B9">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FA7129">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2FA7129">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97F8A">
    <w:pPr>
      <w:pStyle w:val="1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4E64E7">
                          <w:pPr>
                            <w:pStyle w:val="16"/>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24E64E7">
                    <w:pPr>
                      <w:pStyle w:val="16"/>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9FAF8">
    <w:pPr>
      <w:pStyle w:val="1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8702C5">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F8702C5">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DD316">
    <w:pPr>
      <w:pStyle w:val="16"/>
      <w:pBdr>
        <w:bottom w:val="none" w:color="auto" w:sz="0" w:space="1"/>
      </w:pBd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9345E3">
                          <w:pPr>
                            <w:pStyle w:val="16"/>
                          </w:pPr>
                          <w:r>
                            <w:fldChar w:fldCharType="begin"/>
                          </w:r>
                          <w:r>
                            <w:instrText xml:space="preserve"> PAGE  \* MERGEFORMAT </w:instrText>
                          </w:r>
                          <w:r>
                            <w:fldChar w:fldCharType="separate"/>
                          </w:r>
                          <w:r>
                            <w:t>- 5 -</w:t>
                          </w:r>
                          <w:r>
                            <w:fldChar w:fldCharType="end"/>
                          </w:r>
                        </w:p>
                      </w:txbxContent>
                    </wps:txbx>
                    <wps:bodyPr wrap="none" lIns="0" tIns="0" rIns="0" bIns="0" upright="0">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M/W8kBAACa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kt&#10;sz59gBrT7gMmpuGdH3Lu5Ad0ZtqDijZ/kRDBOKp7vqorh0REfrRerdcVhgTG5gvisIfnIUJ6L70l&#10;2WhoxPEVVfnpI6QxdU7J1Zy/08agn9fG/eNAzOxhufexx2ylYT9Mje99e0Y+PU6+oQ4XnRLzwaGw&#10;eUlmI87GfjaOIepDV7Yo14Nwe0zYROktVxhhp8I4ssJuWq+8E4/vJevhl9r+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e8z9byQEAAJoDAAAOAAAAAAAAAAEAIAAAAB4BAABkcnMvZTJvRG9j&#10;LnhtbFBLBQYAAAAABgAGAFkBAABZBQAAAAA=&#10;">
              <v:fill on="f" focussize="0,0"/>
              <v:stroke on="f"/>
              <v:imagedata o:title=""/>
              <o:lock v:ext="edit" aspectratio="f"/>
              <v:textbox inset="0mm,0mm,0mm,0mm" style="mso-fit-shape-to-text:t;">
                <w:txbxContent>
                  <w:p w14:paraId="599345E3">
                    <w:pPr>
                      <w:pStyle w:val="16"/>
                    </w:pPr>
                    <w:r>
                      <w:fldChar w:fldCharType="begin"/>
                    </w:r>
                    <w:r>
                      <w:instrText xml:space="preserve"> PAGE  \* MERGEFORMAT </w:instrText>
                    </w:r>
                    <w:r>
                      <w:fldChar w:fldCharType="separate"/>
                    </w:r>
                    <w:r>
                      <w:t>- 5 -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038BD">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EC071F">
                          <w:pPr>
                            <w:pStyle w:val="16"/>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1EB8sgBAACa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1&#10;1mcI0GDafcDENL71I27N4gd0ZtqjijZ/kRDBOKp7vqorx0REfrSu1+sKQwJjywXx2cPzECG9k96S&#10;bLQ04viKqvz0AdKUuqTkas7faWPKCI37y4GY2cNy71OP2UrjfpwJ7X13Rj4DTr6lDhedEvPeobB5&#10;SRYjLsZ+MY4h6kNftijXg/DmmLCJ0luuMMHOhXFkhd28XnknHt9L1sMvtf0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dRAfLIAQAAmgMAAA4AAAAAAAAAAQAgAAAAHgEAAGRycy9lMm9Eb2Mu&#10;eG1sUEsFBgAAAAAGAAYAWQEAAFgFAAAAAA==&#10;">
              <v:fill on="f" focussize="0,0"/>
              <v:stroke on="f"/>
              <v:imagedata o:title=""/>
              <o:lock v:ext="edit" aspectratio="f"/>
              <v:textbox inset="0mm,0mm,0mm,0mm" style="mso-fit-shape-to-text:t;">
                <w:txbxContent>
                  <w:p w14:paraId="0FEC071F">
                    <w:pPr>
                      <w:pStyle w:val="16"/>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69AB8FD6">
      <w:pPr>
        <w:pStyle w:val="19"/>
        <w:spacing w:line="240" w:lineRule="auto"/>
        <w:ind w:firstLine="0"/>
        <w:rPr>
          <w:rFonts w:ascii="宋体" w:hAnsi="宋体"/>
          <w:color w:val="000000"/>
        </w:rPr>
      </w:pPr>
      <w:r>
        <w:rPr>
          <w:rFonts w:hint="eastAsia" w:ascii="宋体" w:hAnsi="宋体"/>
          <w:b/>
          <w:color w:val="000000"/>
        </w:rPr>
        <w:t>备注：</w:t>
      </w:r>
      <w:r>
        <w:rPr>
          <w:rFonts w:hint="eastAsia" w:ascii="宋体" w:hAnsi="宋体"/>
          <w:color w:val="000000"/>
        </w:rPr>
        <w:t>1</w:t>
      </w:r>
      <w:r>
        <w:rPr>
          <w:rFonts w:ascii="宋体" w:hAnsi="宋体"/>
          <w:color w:val="000000"/>
        </w:rPr>
        <w:t>.</w:t>
      </w:r>
      <w:r>
        <w:rPr>
          <w:rFonts w:hint="eastAsia" w:ascii="宋体" w:hAnsi="宋体"/>
          <w:color w:val="000000"/>
        </w:rPr>
        <w:t>从业人员、营业收入、资产总额填报上一年度数据，无上一年度数据的新成立企业可不填报。</w:t>
      </w:r>
    </w:p>
    <w:p w14:paraId="008A92E0">
      <w:pPr>
        <w:pStyle w:val="19"/>
        <w:spacing w:line="240" w:lineRule="auto"/>
        <w:ind w:firstLine="600"/>
        <w:rPr>
          <w:rFonts w:ascii="宋体" w:hAnsi="宋体"/>
          <w:color w:val="000000"/>
        </w:rPr>
      </w:pPr>
      <w:r>
        <w:rPr>
          <w:rFonts w:ascii="宋体" w:hAnsi="宋体"/>
          <w:color w:val="000000"/>
        </w:rPr>
        <w:t>2.</w:t>
      </w:r>
      <w:r>
        <w:rPr>
          <w:rFonts w:hint="eastAsia" w:ascii="宋体" w:hAnsi="宋体"/>
          <w:color w:val="000000"/>
        </w:rPr>
        <w:t>在服务采购项目中，服务由中小企业承接，即提供服务的人员为中小企业依照《中华人民共和国劳动合同法》订立劳动合同的从业人员。</w:t>
      </w:r>
      <w:r>
        <w:rPr>
          <w:rFonts w:hint="eastAsia" w:ascii="宋体" w:hAnsi="宋体"/>
          <w:b/>
          <w:color w:val="000000"/>
        </w:rPr>
        <w:t>服务类项目中供应商若使用退休人员，将不享受相应扶持政策。</w:t>
      </w:r>
    </w:p>
    <w:p w14:paraId="5C0D4F31">
      <w:pPr>
        <w:pStyle w:val="19"/>
        <w:spacing w:line="240" w:lineRule="auto"/>
        <w:ind w:firstLine="600"/>
        <w:rPr>
          <w:rFonts w:ascii="宋体" w:hAnsi="宋体"/>
          <w:color w:val="000000"/>
        </w:rPr>
      </w:pPr>
      <w:r>
        <w:rPr>
          <w:rFonts w:hint="eastAsia" w:ascii="宋体" w:hAnsi="宋体"/>
          <w:color w:val="000000"/>
        </w:rPr>
        <w:t>3</w:t>
      </w:r>
      <w:r>
        <w:rPr>
          <w:rFonts w:ascii="宋体" w:hAnsi="宋体"/>
          <w:color w:val="000000"/>
        </w:rPr>
        <w:t>.</w:t>
      </w:r>
      <w:r>
        <w:rPr>
          <w:rFonts w:hint="eastAsia" w:ascii="宋体" w:hAnsi="宋体"/>
          <w:color w:val="000000"/>
        </w:rPr>
        <w:t>《中小企业声明函》中所填的行业应与本采购标的对应的中小企业划分标准所属行业一致，不一致的不可享受相应政策优惠。</w:t>
      </w:r>
      <w:r>
        <w:rPr>
          <w:rFonts w:hint="eastAsia" w:ascii="宋体" w:hAnsi="宋体"/>
          <w:b/>
          <w:color w:val="000000"/>
        </w:rPr>
        <w:t>本采购标的对应的中小企业划分标准所属行业，以采购文件中具体规定为准。</w:t>
      </w:r>
    </w:p>
    <w:p w14:paraId="7237C05B">
      <w:pPr>
        <w:pStyle w:val="19"/>
        <w:spacing w:line="240" w:lineRule="auto"/>
        <w:ind w:firstLine="600"/>
        <w:rPr>
          <w:rFonts w:ascii="宋体" w:hAnsi="宋体"/>
          <w:color w:val="000000"/>
        </w:rPr>
      </w:pPr>
      <w:r>
        <w:rPr>
          <w:rFonts w:ascii="宋体" w:hAnsi="宋体"/>
          <w:color w:val="000000"/>
        </w:rPr>
        <w:t>4.</w:t>
      </w:r>
      <w:r>
        <w:rPr>
          <w:rFonts w:hint="eastAsia" w:ascii="宋体" w:hAnsi="宋体"/>
          <w:b/>
          <w:color w:val="000000"/>
        </w:rPr>
        <w:t>如未对（中型企业、小型企业、微型企业）进行勾选，视同非中小微企业，不可享受相应扶持政策</w:t>
      </w:r>
      <w:r>
        <w:rPr>
          <w:rFonts w:hint="eastAsia" w:ascii="宋体" w:hAnsi="宋体"/>
          <w:color w:val="000000"/>
        </w:rPr>
        <w:t>。</w:t>
      </w:r>
    </w:p>
    <w:p w14:paraId="6858EFC5">
      <w:pPr>
        <w:pStyle w:val="19"/>
        <w:spacing w:line="240" w:lineRule="auto"/>
        <w:ind w:firstLine="600"/>
        <w:rPr>
          <w:rFonts w:ascii="宋体" w:hAnsi="宋体"/>
        </w:rPr>
      </w:pPr>
      <w:r>
        <w:rPr>
          <w:rFonts w:hint="eastAsia" w:ascii="宋体" w:hAnsi="宋体"/>
        </w:rPr>
        <w:t>5</w:t>
      </w:r>
      <w:r>
        <w:rPr>
          <w:rFonts w:ascii="宋体" w:hAnsi="宋体"/>
        </w:rPr>
        <w:t>.</w:t>
      </w:r>
      <w:r>
        <w:rPr>
          <w:rFonts w:hint="eastAsia" w:ascii="宋体" w:hAnsi="宋体"/>
        </w:rPr>
        <w:t>成交单位为中小企业的，《中小企业声明函》将随成交结果同时公告。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7EDEB">
    <w:pPr>
      <w:pStyle w:val="17"/>
      <w:jc w:val="left"/>
      <w:rPr>
        <w:rFonts w:hint="default" w:ascii="楷体" w:hAnsi="楷体" w:eastAsia="楷体" w:cs="楷体"/>
        <w:lang w:val="en-US" w:eastAsia="zh-CN"/>
      </w:rPr>
    </w:pPr>
    <w:r>
      <w:rPr>
        <w:rFonts w:hint="eastAsia" w:ascii="楷体" w:hAnsi="楷体" w:eastAsia="楷体" w:cs="楷体"/>
      </w:rPr>
      <w:t>政府采购竞争性磋商文件                                 项目编号：</w:t>
    </w:r>
    <w:r>
      <w:rPr>
        <w:rFonts w:hint="eastAsia" w:ascii="楷体" w:hAnsi="楷体" w:eastAsia="楷体" w:cs="楷体"/>
        <w:lang w:eastAsia="zh-CN"/>
      </w:rPr>
      <w:t xml:space="preserve">JSZC-320509-DLZB-C2026-0010 </w:t>
    </w:r>
    <w:r>
      <w:rPr>
        <w:rFonts w:hint="eastAsia" w:ascii="楷体" w:hAnsi="楷体" w:eastAsia="楷体" w:cs="楷体"/>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715F5">
    <w:pPr>
      <w:pStyle w:val="17"/>
      <w:jc w:val="left"/>
    </w:pPr>
    <w:r>
      <w:rPr>
        <w:rFonts w:hint="eastAsia" w:ascii="楷体" w:hAnsi="楷体" w:eastAsia="楷体" w:cs="楷体"/>
      </w:rPr>
      <w:t xml:space="preserve">政府采购竞争性磋商文件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5E28EE"/>
    <w:multiLevelType w:val="singleLevel"/>
    <w:tmpl w:val="8C5E28EE"/>
    <w:lvl w:ilvl="0" w:tentative="0">
      <w:start w:val="1"/>
      <w:numFmt w:val="decimalEnclosedCircleChinese"/>
      <w:suff w:val="nothing"/>
      <w:lvlText w:val="%1　"/>
      <w:lvlJc w:val="left"/>
      <w:pPr>
        <w:ind w:left="0" w:firstLine="400"/>
      </w:pPr>
      <w:rPr>
        <w:rFonts w:hint="eastAsia"/>
      </w:rPr>
    </w:lvl>
  </w:abstractNum>
  <w:abstractNum w:abstractNumId="1">
    <w:nsid w:val="00000008"/>
    <w:multiLevelType w:val="multilevel"/>
    <w:tmpl w:val="00000008"/>
    <w:lvl w:ilvl="0" w:tentative="0">
      <w:start w:val="1"/>
      <w:numFmt w:val="chineseCountingThousand"/>
      <w:lvlText w:val="%1、"/>
      <w:lvlJc w:val="left"/>
      <w:pPr>
        <w:ind w:left="432" w:hanging="432"/>
      </w:pPr>
      <w:rPr>
        <w:rFonts w:hint="eastAsia"/>
      </w:rPr>
    </w:lvl>
    <w:lvl w:ilvl="1" w:tentative="0">
      <w:start w:val="1"/>
      <w:numFmt w:val="chineseCountingThousand"/>
      <w:lvlText w:val="(%2)"/>
      <w:lvlJc w:val="left"/>
      <w:pPr>
        <w:ind w:left="576" w:hanging="576"/>
      </w:pPr>
      <w:rPr>
        <w:rFonts w:hint="eastAsia"/>
      </w:rPr>
    </w:lvl>
    <w:lvl w:ilvl="2" w:tentative="0">
      <w:start w:val="1"/>
      <w:numFmt w:val="decimal"/>
      <w:lvlText w:val="%3"/>
      <w:lvlJc w:val="left"/>
      <w:pPr>
        <w:ind w:left="720" w:hanging="720"/>
      </w:pPr>
      <w:rPr>
        <w:rFonts w:hint="eastAsia"/>
      </w:rPr>
    </w:lvl>
    <w:lvl w:ilvl="3" w:tentative="0">
      <w:start w:val="1"/>
      <w:numFmt w:val="decimal"/>
      <w:pStyle w:val="5"/>
      <w:lvlText w:val="%3.%4"/>
      <w:lvlJc w:val="left"/>
      <w:pPr>
        <w:ind w:left="864" w:hanging="864"/>
      </w:pPr>
      <w:rPr>
        <w:rFonts w:hint="eastAsia"/>
      </w:rPr>
    </w:lvl>
    <w:lvl w:ilvl="4" w:tentative="0">
      <w:start w:val="1"/>
      <w:numFmt w:val="decimal"/>
      <w:lvlText w:val="%3.%4.%5"/>
      <w:lvlJc w:val="left"/>
      <w:pPr>
        <w:ind w:left="1008" w:hanging="1008"/>
      </w:pPr>
      <w:rPr>
        <w:rFonts w:hint="eastAsia"/>
      </w:rPr>
    </w:lvl>
    <w:lvl w:ilvl="5" w:tentative="0">
      <w:start w:val="1"/>
      <w:numFmt w:val="decimal"/>
      <w:lvlText w:val="(%6)"/>
      <w:lvlJc w:val="left"/>
      <w:pPr>
        <w:ind w:left="1152" w:hanging="1152"/>
      </w:pPr>
      <w:rPr>
        <w:rFonts w:hint="eastAsia"/>
      </w:rPr>
    </w:lvl>
    <w:lvl w:ilvl="6" w:tentative="0">
      <w:start w:val="1"/>
      <w:numFmt w:val="none"/>
      <w:lvlText w:val=""/>
      <w:lvlJc w:val="left"/>
      <w:pPr>
        <w:ind w:left="1296" w:hanging="1296"/>
      </w:pPr>
      <w:rPr>
        <w:rFonts w:hint="eastAsia"/>
      </w:rPr>
    </w:lvl>
    <w:lvl w:ilvl="7" w:tentative="0">
      <w:start w:val="1"/>
      <w:numFmt w:val="none"/>
      <w:lvlText w:val=""/>
      <w:lvlJc w:val="left"/>
      <w:pPr>
        <w:ind w:left="1440" w:hanging="1440"/>
      </w:pPr>
      <w:rPr>
        <w:rFonts w:hint="eastAsia"/>
      </w:rPr>
    </w:lvl>
    <w:lvl w:ilvl="8" w:tentative="0">
      <w:start w:val="1"/>
      <w:numFmt w:val="none"/>
      <w:lvlText w:val=""/>
      <w:lvlJc w:val="left"/>
      <w:pPr>
        <w:ind w:left="1584" w:hanging="1584"/>
      </w:pPr>
      <w:rPr>
        <w:rFonts w:hint="eastAsia"/>
      </w:rPr>
    </w:lvl>
  </w:abstractNum>
  <w:abstractNum w:abstractNumId="2">
    <w:nsid w:val="15BC0D8B"/>
    <w:multiLevelType w:val="multilevel"/>
    <w:tmpl w:val="15BC0D8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A67CE83"/>
    <w:multiLevelType w:val="singleLevel"/>
    <w:tmpl w:val="2A67CE83"/>
    <w:lvl w:ilvl="0" w:tentative="0">
      <w:start w:val="1"/>
      <w:numFmt w:val="chineseCounting"/>
      <w:suff w:val="nothing"/>
      <w:lvlText w:val="（%1）"/>
      <w:lvlJc w:val="left"/>
      <w:pPr>
        <w:ind w:left="0" w:firstLine="420"/>
      </w:pPr>
      <w:rPr>
        <w:rFonts w:hint="eastAsia"/>
        <w:b/>
        <w:bCs/>
        <w:color w:val="auto"/>
      </w:rPr>
    </w:lvl>
  </w:abstractNum>
  <w:abstractNum w:abstractNumId="4">
    <w:nsid w:val="4F3C985E"/>
    <w:multiLevelType w:val="singleLevel"/>
    <w:tmpl w:val="4F3C985E"/>
    <w:lvl w:ilvl="0" w:tentative="0">
      <w:start w:val="1"/>
      <w:numFmt w:val="chineseCounting"/>
      <w:suff w:val="nothing"/>
      <w:lvlText w:val="%1、"/>
      <w:lvlJc w:val="left"/>
      <w:pPr>
        <w:ind w:left="0" w:firstLine="420"/>
      </w:pPr>
      <w:rPr>
        <w:rFonts w:hint="eastAsia"/>
        <w:b/>
      </w:rPr>
    </w:lvl>
  </w:abstractNum>
  <w:abstractNum w:abstractNumId="5">
    <w:nsid w:val="55CD115D"/>
    <w:multiLevelType w:val="singleLevel"/>
    <w:tmpl w:val="55CD115D"/>
    <w:lvl w:ilvl="0" w:tentative="0">
      <w:start w:val="1"/>
      <w:numFmt w:val="decimal"/>
      <w:lvlText w:val="%1."/>
      <w:lvlJc w:val="left"/>
      <w:pPr>
        <w:ind w:left="425" w:hanging="425"/>
      </w:pPr>
      <w:rPr>
        <w:rFonts w:hint="default"/>
      </w:rPr>
    </w:lvl>
  </w:abstractNum>
  <w:abstractNum w:abstractNumId="6">
    <w:nsid w:val="58A66228"/>
    <w:multiLevelType w:val="singleLevel"/>
    <w:tmpl w:val="58A66228"/>
    <w:lvl w:ilvl="0" w:tentative="0">
      <w:start w:val="1"/>
      <w:numFmt w:val="decimal"/>
      <w:suff w:val="nothing"/>
      <w:lvlText w:val="%1、"/>
      <w:lvlJc w:val="left"/>
    </w:lvl>
  </w:abstractNum>
  <w:abstractNum w:abstractNumId="7">
    <w:nsid w:val="666CA0E6"/>
    <w:multiLevelType w:val="singleLevel"/>
    <w:tmpl w:val="666CA0E6"/>
    <w:lvl w:ilvl="0" w:tentative="0">
      <w:start w:val="2"/>
      <w:numFmt w:val="decimal"/>
      <w:suff w:val="nothing"/>
      <w:lvlText w:val="（%1）"/>
      <w:lvlJc w:val="left"/>
    </w:lvl>
  </w:abstractNum>
  <w:num w:numId="1">
    <w:abstractNumId w:val="1"/>
  </w:num>
  <w:num w:numId="2">
    <w:abstractNumId w:val="3"/>
  </w:num>
  <w:num w:numId="3">
    <w:abstractNumId w:val="7"/>
  </w:num>
  <w:num w:numId="4">
    <w:abstractNumId w:val="6"/>
  </w:num>
  <w:num w:numId="5">
    <w:abstractNumId w:val="5"/>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trackedChanges"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xZjlmMjQ2N2E2ODhiOTYxYTNlNjZjMmY2OTgzZjkifQ=="/>
  </w:docVars>
  <w:rsids>
    <w:rsidRoot w:val="00522B72"/>
    <w:rsid w:val="000024FA"/>
    <w:rsid w:val="00004035"/>
    <w:rsid w:val="000053DD"/>
    <w:rsid w:val="00006930"/>
    <w:rsid w:val="00010DE0"/>
    <w:rsid w:val="00011043"/>
    <w:rsid w:val="00013433"/>
    <w:rsid w:val="000139A6"/>
    <w:rsid w:val="00014168"/>
    <w:rsid w:val="00014513"/>
    <w:rsid w:val="00015944"/>
    <w:rsid w:val="00015B4F"/>
    <w:rsid w:val="00016FCA"/>
    <w:rsid w:val="0002045A"/>
    <w:rsid w:val="00020FF7"/>
    <w:rsid w:val="00021CF4"/>
    <w:rsid w:val="000232F7"/>
    <w:rsid w:val="00030017"/>
    <w:rsid w:val="00033715"/>
    <w:rsid w:val="00033C8C"/>
    <w:rsid w:val="00034A23"/>
    <w:rsid w:val="00035C73"/>
    <w:rsid w:val="00036A97"/>
    <w:rsid w:val="00041403"/>
    <w:rsid w:val="000414A4"/>
    <w:rsid w:val="0004195A"/>
    <w:rsid w:val="00043B5C"/>
    <w:rsid w:val="00050947"/>
    <w:rsid w:val="0005196A"/>
    <w:rsid w:val="00054E3A"/>
    <w:rsid w:val="00055F8D"/>
    <w:rsid w:val="00060186"/>
    <w:rsid w:val="000609DF"/>
    <w:rsid w:val="00061717"/>
    <w:rsid w:val="000641A1"/>
    <w:rsid w:val="00066854"/>
    <w:rsid w:val="00067CD5"/>
    <w:rsid w:val="000751CA"/>
    <w:rsid w:val="00075431"/>
    <w:rsid w:val="00075DDE"/>
    <w:rsid w:val="0008003A"/>
    <w:rsid w:val="0008077F"/>
    <w:rsid w:val="00080AA1"/>
    <w:rsid w:val="00082FB3"/>
    <w:rsid w:val="00083D8A"/>
    <w:rsid w:val="00084229"/>
    <w:rsid w:val="0008618C"/>
    <w:rsid w:val="00086CFA"/>
    <w:rsid w:val="000915A2"/>
    <w:rsid w:val="000918EE"/>
    <w:rsid w:val="00092950"/>
    <w:rsid w:val="00095A20"/>
    <w:rsid w:val="00097731"/>
    <w:rsid w:val="000A3FAC"/>
    <w:rsid w:val="000B0C0A"/>
    <w:rsid w:val="000B0F4E"/>
    <w:rsid w:val="000B1F5F"/>
    <w:rsid w:val="000B399D"/>
    <w:rsid w:val="000B4BE2"/>
    <w:rsid w:val="000B5399"/>
    <w:rsid w:val="000B7197"/>
    <w:rsid w:val="000B72CA"/>
    <w:rsid w:val="000C0AA3"/>
    <w:rsid w:val="000C31FB"/>
    <w:rsid w:val="000C7DFB"/>
    <w:rsid w:val="000D19C8"/>
    <w:rsid w:val="000D1A45"/>
    <w:rsid w:val="000D52BC"/>
    <w:rsid w:val="000D72DA"/>
    <w:rsid w:val="000E0BBC"/>
    <w:rsid w:val="000E307F"/>
    <w:rsid w:val="000E3250"/>
    <w:rsid w:val="000E4336"/>
    <w:rsid w:val="000E5523"/>
    <w:rsid w:val="000E5537"/>
    <w:rsid w:val="000E724E"/>
    <w:rsid w:val="000E753E"/>
    <w:rsid w:val="000F291B"/>
    <w:rsid w:val="000F4E0E"/>
    <w:rsid w:val="0010016A"/>
    <w:rsid w:val="00100B20"/>
    <w:rsid w:val="001022A8"/>
    <w:rsid w:val="001045EC"/>
    <w:rsid w:val="00104752"/>
    <w:rsid w:val="001052A2"/>
    <w:rsid w:val="001072DA"/>
    <w:rsid w:val="00110EDC"/>
    <w:rsid w:val="00113D7D"/>
    <w:rsid w:val="0011461C"/>
    <w:rsid w:val="00114839"/>
    <w:rsid w:val="001155D8"/>
    <w:rsid w:val="00115A29"/>
    <w:rsid w:val="00115FA0"/>
    <w:rsid w:val="00116BC1"/>
    <w:rsid w:val="00120600"/>
    <w:rsid w:val="0012227B"/>
    <w:rsid w:val="00122F6C"/>
    <w:rsid w:val="001241BE"/>
    <w:rsid w:val="00127788"/>
    <w:rsid w:val="001302B3"/>
    <w:rsid w:val="00136D81"/>
    <w:rsid w:val="00137FC9"/>
    <w:rsid w:val="00140DE8"/>
    <w:rsid w:val="00141C8A"/>
    <w:rsid w:val="0014250F"/>
    <w:rsid w:val="001436A1"/>
    <w:rsid w:val="001436FC"/>
    <w:rsid w:val="00144D5E"/>
    <w:rsid w:val="001459AA"/>
    <w:rsid w:val="00150C32"/>
    <w:rsid w:val="00153B31"/>
    <w:rsid w:val="00154D69"/>
    <w:rsid w:val="00155B1A"/>
    <w:rsid w:val="00155D45"/>
    <w:rsid w:val="001573F4"/>
    <w:rsid w:val="00157685"/>
    <w:rsid w:val="0016401B"/>
    <w:rsid w:val="00167639"/>
    <w:rsid w:val="001703AA"/>
    <w:rsid w:val="00171211"/>
    <w:rsid w:val="001722DE"/>
    <w:rsid w:val="0017312E"/>
    <w:rsid w:val="00174EBA"/>
    <w:rsid w:val="00181684"/>
    <w:rsid w:val="0018272A"/>
    <w:rsid w:val="00184B63"/>
    <w:rsid w:val="00185776"/>
    <w:rsid w:val="0018624C"/>
    <w:rsid w:val="00186EA8"/>
    <w:rsid w:val="00187CEA"/>
    <w:rsid w:val="00187DDF"/>
    <w:rsid w:val="00192273"/>
    <w:rsid w:val="001922B4"/>
    <w:rsid w:val="001936E3"/>
    <w:rsid w:val="0019386E"/>
    <w:rsid w:val="00194AA8"/>
    <w:rsid w:val="00195EF7"/>
    <w:rsid w:val="001966F5"/>
    <w:rsid w:val="001A1742"/>
    <w:rsid w:val="001A1FF4"/>
    <w:rsid w:val="001A6DEC"/>
    <w:rsid w:val="001A78DA"/>
    <w:rsid w:val="001B3549"/>
    <w:rsid w:val="001B3E2B"/>
    <w:rsid w:val="001B4707"/>
    <w:rsid w:val="001B4738"/>
    <w:rsid w:val="001B50CA"/>
    <w:rsid w:val="001B52D9"/>
    <w:rsid w:val="001B5D78"/>
    <w:rsid w:val="001B7488"/>
    <w:rsid w:val="001C075D"/>
    <w:rsid w:val="001C07D6"/>
    <w:rsid w:val="001C1C1B"/>
    <w:rsid w:val="001C45A5"/>
    <w:rsid w:val="001C4E26"/>
    <w:rsid w:val="001C6612"/>
    <w:rsid w:val="001C7456"/>
    <w:rsid w:val="001D3FA5"/>
    <w:rsid w:val="001D6F19"/>
    <w:rsid w:val="001D7574"/>
    <w:rsid w:val="001E6197"/>
    <w:rsid w:val="001E6375"/>
    <w:rsid w:val="001E6E7B"/>
    <w:rsid w:val="001F50BB"/>
    <w:rsid w:val="001F5E9D"/>
    <w:rsid w:val="001F6F9C"/>
    <w:rsid w:val="001F70BF"/>
    <w:rsid w:val="00202463"/>
    <w:rsid w:val="002058F5"/>
    <w:rsid w:val="002066EF"/>
    <w:rsid w:val="00206EEA"/>
    <w:rsid w:val="00207C4A"/>
    <w:rsid w:val="002107FD"/>
    <w:rsid w:val="00214A91"/>
    <w:rsid w:val="00215F93"/>
    <w:rsid w:val="002169AA"/>
    <w:rsid w:val="00217075"/>
    <w:rsid w:val="00217C38"/>
    <w:rsid w:val="00220042"/>
    <w:rsid w:val="002203F1"/>
    <w:rsid w:val="002205CB"/>
    <w:rsid w:val="00220CA2"/>
    <w:rsid w:val="00221839"/>
    <w:rsid w:val="00221CB5"/>
    <w:rsid w:val="00221E2A"/>
    <w:rsid w:val="00224C29"/>
    <w:rsid w:val="00225C3F"/>
    <w:rsid w:val="00226BBF"/>
    <w:rsid w:val="0022755B"/>
    <w:rsid w:val="00232EB3"/>
    <w:rsid w:val="0023333F"/>
    <w:rsid w:val="00234AD4"/>
    <w:rsid w:val="002352B8"/>
    <w:rsid w:val="00235896"/>
    <w:rsid w:val="00235DD5"/>
    <w:rsid w:val="00236DF0"/>
    <w:rsid w:val="0023772D"/>
    <w:rsid w:val="00240EB5"/>
    <w:rsid w:val="00241335"/>
    <w:rsid w:val="0024265B"/>
    <w:rsid w:val="0024384D"/>
    <w:rsid w:val="002456A7"/>
    <w:rsid w:val="00246F3F"/>
    <w:rsid w:val="0024764D"/>
    <w:rsid w:val="00250775"/>
    <w:rsid w:val="0025158F"/>
    <w:rsid w:val="002606B0"/>
    <w:rsid w:val="00260849"/>
    <w:rsid w:val="00264F15"/>
    <w:rsid w:val="0026535F"/>
    <w:rsid w:val="00266B20"/>
    <w:rsid w:val="00266D98"/>
    <w:rsid w:val="00267CAF"/>
    <w:rsid w:val="0027203B"/>
    <w:rsid w:val="002723BA"/>
    <w:rsid w:val="002735CC"/>
    <w:rsid w:val="00273EAA"/>
    <w:rsid w:val="0028054A"/>
    <w:rsid w:val="0028108B"/>
    <w:rsid w:val="00281230"/>
    <w:rsid w:val="00281354"/>
    <w:rsid w:val="002826D5"/>
    <w:rsid w:val="00286D14"/>
    <w:rsid w:val="0028721A"/>
    <w:rsid w:val="00287778"/>
    <w:rsid w:val="00290259"/>
    <w:rsid w:val="00290C73"/>
    <w:rsid w:val="00291D09"/>
    <w:rsid w:val="00293DA5"/>
    <w:rsid w:val="00295637"/>
    <w:rsid w:val="002965FC"/>
    <w:rsid w:val="002A0303"/>
    <w:rsid w:val="002A1DE2"/>
    <w:rsid w:val="002A30CC"/>
    <w:rsid w:val="002A3CDD"/>
    <w:rsid w:val="002A3D99"/>
    <w:rsid w:val="002A4872"/>
    <w:rsid w:val="002A75B1"/>
    <w:rsid w:val="002B307D"/>
    <w:rsid w:val="002B3154"/>
    <w:rsid w:val="002B4817"/>
    <w:rsid w:val="002B5CE0"/>
    <w:rsid w:val="002B68C7"/>
    <w:rsid w:val="002B72C3"/>
    <w:rsid w:val="002C25AD"/>
    <w:rsid w:val="002C2FB5"/>
    <w:rsid w:val="002C2FBC"/>
    <w:rsid w:val="002C363D"/>
    <w:rsid w:val="002C3F0E"/>
    <w:rsid w:val="002C5C2B"/>
    <w:rsid w:val="002C75FA"/>
    <w:rsid w:val="002C7BE3"/>
    <w:rsid w:val="002D06BD"/>
    <w:rsid w:val="002D12BF"/>
    <w:rsid w:val="002D1E93"/>
    <w:rsid w:val="002D22F5"/>
    <w:rsid w:val="002D2ADE"/>
    <w:rsid w:val="002D379C"/>
    <w:rsid w:val="002D67BE"/>
    <w:rsid w:val="002D7BE6"/>
    <w:rsid w:val="002E036E"/>
    <w:rsid w:val="002E0CB1"/>
    <w:rsid w:val="002E1BF7"/>
    <w:rsid w:val="002E461F"/>
    <w:rsid w:val="002E59B8"/>
    <w:rsid w:val="002E6614"/>
    <w:rsid w:val="002E72E9"/>
    <w:rsid w:val="002F06F0"/>
    <w:rsid w:val="002F0DCB"/>
    <w:rsid w:val="002F11AC"/>
    <w:rsid w:val="002F1AE2"/>
    <w:rsid w:val="002F27D2"/>
    <w:rsid w:val="002F5A1E"/>
    <w:rsid w:val="002F5C53"/>
    <w:rsid w:val="002F6132"/>
    <w:rsid w:val="002F64BA"/>
    <w:rsid w:val="00300813"/>
    <w:rsid w:val="00302A00"/>
    <w:rsid w:val="00302D1B"/>
    <w:rsid w:val="00303418"/>
    <w:rsid w:val="003068D3"/>
    <w:rsid w:val="00307039"/>
    <w:rsid w:val="00307350"/>
    <w:rsid w:val="00307EF6"/>
    <w:rsid w:val="00310C49"/>
    <w:rsid w:val="00310D4C"/>
    <w:rsid w:val="00311628"/>
    <w:rsid w:val="0031196B"/>
    <w:rsid w:val="00316C8A"/>
    <w:rsid w:val="00320551"/>
    <w:rsid w:val="00321299"/>
    <w:rsid w:val="0032394E"/>
    <w:rsid w:val="00325A7C"/>
    <w:rsid w:val="00327C04"/>
    <w:rsid w:val="00327F7C"/>
    <w:rsid w:val="0033093E"/>
    <w:rsid w:val="003319E5"/>
    <w:rsid w:val="00331E97"/>
    <w:rsid w:val="00332247"/>
    <w:rsid w:val="003343BE"/>
    <w:rsid w:val="00335284"/>
    <w:rsid w:val="003373FA"/>
    <w:rsid w:val="0034010D"/>
    <w:rsid w:val="003433C3"/>
    <w:rsid w:val="00343632"/>
    <w:rsid w:val="00343B7D"/>
    <w:rsid w:val="003448F7"/>
    <w:rsid w:val="003468BD"/>
    <w:rsid w:val="00346AE8"/>
    <w:rsid w:val="003472FE"/>
    <w:rsid w:val="00347BC1"/>
    <w:rsid w:val="00350AD0"/>
    <w:rsid w:val="0035179D"/>
    <w:rsid w:val="00351FA6"/>
    <w:rsid w:val="00352F71"/>
    <w:rsid w:val="003540ED"/>
    <w:rsid w:val="00355A91"/>
    <w:rsid w:val="00356A89"/>
    <w:rsid w:val="003570B0"/>
    <w:rsid w:val="00360CBD"/>
    <w:rsid w:val="00361517"/>
    <w:rsid w:val="003622F4"/>
    <w:rsid w:val="003721D5"/>
    <w:rsid w:val="003726AD"/>
    <w:rsid w:val="00372732"/>
    <w:rsid w:val="00373DE2"/>
    <w:rsid w:val="00374287"/>
    <w:rsid w:val="00374F31"/>
    <w:rsid w:val="0037631A"/>
    <w:rsid w:val="00376842"/>
    <w:rsid w:val="003800D8"/>
    <w:rsid w:val="003824B9"/>
    <w:rsid w:val="00390790"/>
    <w:rsid w:val="003908EC"/>
    <w:rsid w:val="003938D4"/>
    <w:rsid w:val="00393C40"/>
    <w:rsid w:val="00394952"/>
    <w:rsid w:val="00394ACE"/>
    <w:rsid w:val="00395A96"/>
    <w:rsid w:val="003A3A93"/>
    <w:rsid w:val="003A4D1C"/>
    <w:rsid w:val="003A538F"/>
    <w:rsid w:val="003A6796"/>
    <w:rsid w:val="003B0C35"/>
    <w:rsid w:val="003B3A0D"/>
    <w:rsid w:val="003B42B3"/>
    <w:rsid w:val="003B625D"/>
    <w:rsid w:val="003B73CC"/>
    <w:rsid w:val="003B7820"/>
    <w:rsid w:val="003B7C82"/>
    <w:rsid w:val="003C20A4"/>
    <w:rsid w:val="003C22FB"/>
    <w:rsid w:val="003C3CFA"/>
    <w:rsid w:val="003C59FA"/>
    <w:rsid w:val="003C5CDA"/>
    <w:rsid w:val="003D13FA"/>
    <w:rsid w:val="003D19BC"/>
    <w:rsid w:val="003D42A6"/>
    <w:rsid w:val="003D4579"/>
    <w:rsid w:val="003D687A"/>
    <w:rsid w:val="003E1176"/>
    <w:rsid w:val="003E140C"/>
    <w:rsid w:val="003E32AF"/>
    <w:rsid w:val="003E6194"/>
    <w:rsid w:val="003E7927"/>
    <w:rsid w:val="003E7E5F"/>
    <w:rsid w:val="003F27AC"/>
    <w:rsid w:val="003F29AC"/>
    <w:rsid w:val="003F3AFB"/>
    <w:rsid w:val="003F5CB7"/>
    <w:rsid w:val="003F6E79"/>
    <w:rsid w:val="003F7639"/>
    <w:rsid w:val="003F76E7"/>
    <w:rsid w:val="00400DA7"/>
    <w:rsid w:val="004013C8"/>
    <w:rsid w:val="0040318D"/>
    <w:rsid w:val="00403419"/>
    <w:rsid w:val="00403471"/>
    <w:rsid w:val="00404159"/>
    <w:rsid w:val="00404FD4"/>
    <w:rsid w:val="00405622"/>
    <w:rsid w:val="00406A3A"/>
    <w:rsid w:val="00407450"/>
    <w:rsid w:val="004074D3"/>
    <w:rsid w:val="00407F8D"/>
    <w:rsid w:val="0041045A"/>
    <w:rsid w:val="00410CBE"/>
    <w:rsid w:val="00412708"/>
    <w:rsid w:val="004145F4"/>
    <w:rsid w:val="004157E1"/>
    <w:rsid w:val="0042315D"/>
    <w:rsid w:val="004240BC"/>
    <w:rsid w:val="004267DB"/>
    <w:rsid w:val="00427095"/>
    <w:rsid w:val="0042721C"/>
    <w:rsid w:val="004273C0"/>
    <w:rsid w:val="00430028"/>
    <w:rsid w:val="004303D2"/>
    <w:rsid w:val="00431044"/>
    <w:rsid w:val="00432FF6"/>
    <w:rsid w:val="00433953"/>
    <w:rsid w:val="00434987"/>
    <w:rsid w:val="0043782F"/>
    <w:rsid w:val="00443546"/>
    <w:rsid w:val="0044521F"/>
    <w:rsid w:val="00445875"/>
    <w:rsid w:val="00445FEE"/>
    <w:rsid w:val="0044713B"/>
    <w:rsid w:val="00450D54"/>
    <w:rsid w:val="00450EDA"/>
    <w:rsid w:val="00455572"/>
    <w:rsid w:val="004558A6"/>
    <w:rsid w:val="00455D14"/>
    <w:rsid w:val="00456AA9"/>
    <w:rsid w:val="00456F48"/>
    <w:rsid w:val="004655A8"/>
    <w:rsid w:val="004656A0"/>
    <w:rsid w:val="00465CA1"/>
    <w:rsid w:val="004662B0"/>
    <w:rsid w:val="00466362"/>
    <w:rsid w:val="00466A21"/>
    <w:rsid w:val="00467187"/>
    <w:rsid w:val="00470CEA"/>
    <w:rsid w:val="00475787"/>
    <w:rsid w:val="00477774"/>
    <w:rsid w:val="00480CD8"/>
    <w:rsid w:val="004810FA"/>
    <w:rsid w:val="0048311F"/>
    <w:rsid w:val="0048449B"/>
    <w:rsid w:val="00485EDD"/>
    <w:rsid w:val="004869D9"/>
    <w:rsid w:val="004928DC"/>
    <w:rsid w:val="00492B37"/>
    <w:rsid w:val="00492E2B"/>
    <w:rsid w:val="0049513F"/>
    <w:rsid w:val="004952A9"/>
    <w:rsid w:val="00495595"/>
    <w:rsid w:val="004A0BB2"/>
    <w:rsid w:val="004A1E80"/>
    <w:rsid w:val="004A3692"/>
    <w:rsid w:val="004A39E3"/>
    <w:rsid w:val="004A5DAA"/>
    <w:rsid w:val="004A704D"/>
    <w:rsid w:val="004B2405"/>
    <w:rsid w:val="004B2599"/>
    <w:rsid w:val="004B33C5"/>
    <w:rsid w:val="004B6917"/>
    <w:rsid w:val="004B742B"/>
    <w:rsid w:val="004C10E6"/>
    <w:rsid w:val="004C2BFD"/>
    <w:rsid w:val="004C4769"/>
    <w:rsid w:val="004C5481"/>
    <w:rsid w:val="004C548A"/>
    <w:rsid w:val="004D0F66"/>
    <w:rsid w:val="004D1130"/>
    <w:rsid w:val="004D19E8"/>
    <w:rsid w:val="004D210D"/>
    <w:rsid w:val="004D239F"/>
    <w:rsid w:val="004D395B"/>
    <w:rsid w:val="004D3B87"/>
    <w:rsid w:val="004D4167"/>
    <w:rsid w:val="004D672A"/>
    <w:rsid w:val="004D7E83"/>
    <w:rsid w:val="004E0136"/>
    <w:rsid w:val="004E0763"/>
    <w:rsid w:val="004E0CAD"/>
    <w:rsid w:val="004E10B6"/>
    <w:rsid w:val="004E4A8E"/>
    <w:rsid w:val="004E622F"/>
    <w:rsid w:val="004E655F"/>
    <w:rsid w:val="004E678D"/>
    <w:rsid w:val="004E68A8"/>
    <w:rsid w:val="004E703E"/>
    <w:rsid w:val="004E7236"/>
    <w:rsid w:val="004F1D2B"/>
    <w:rsid w:val="004F2963"/>
    <w:rsid w:val="004F2CC1"/>
    <w:rsid w:val="004F4F94"/>
    <w:rsid w:val="004F58E1"/>
    <w:rsid w:val="004F7172"/>
    <w:rsid w:val="004F7AA8"/>
    <w:rsid w:val="004F7BAC"/>
    <w:rsid w:val="00501869"/>
    <w:rsid w:val="005024F0"/>
    <w:rsid w:val="00502906"/>
    <w:rsid w:val="00502BD4"/>
    <w:rsid w:val="00502FB0"/>
    <w:rsid w:val="005036E5"/>
    <w:rsid w:val="005057A8"/>
    <w:rsid w:val="00512CFB"/>
    <w:rsid w:val="00513230"/>
    <w:rsid w:val="00513B61"/>
    <w:rsid w:val="0051420C"/>
    <w:rsid w:val="00514704"/>
    <w:rsid w:val="00515434"/>
    <w:rsid w:val="00516704"/>
    <w:rsid w:val="00520993"/>
    <w:rsid w:val="005220C5"/>
    <w:rsid w:val="005220F2"/>
    <w:rsid w:val="00522B72"/>
    <w:rsid w:val="00523D6B"/>
    <w:rsid w:val="005242F0"/>
    <w:rsid w:val="005255B1"/>
    <w:rsid w:val="00527FFA"/>
    <w:rsid w:val="00530191"/>
    <w:rsid w:val="005312E4"/>
    <w:rsid w:val="00531653"/>
    <w:rsid w:val="005318A6"/>
    <w:rsid w:val="00531E22"/>
    <w:rsid w:val="005334D0"/>
    <w:rsid w:val="0053439E"/>
    <w:rsid w:val="00534F82"/>
    <w:rsid w:val="00535D52"/>
    <w:rsid w:val="0053615A"/>
    <w:rsid w:val="005371FC"/>
    <w:rsid w:val="0053770C"/>
    <w:rsid w:val="00537842"/>
    <w:rsid w:val="00541680"/>
    <w:rsid w:val="0054338C"/>
    <w:rsid w:val="00543811"/>
    <w:rsid w:val="00543ACF"/>
    <w:rsid w:val="005440EA"/>
    <w:rsid w:val="00544B2E"/>
    <w:rsid w:val="00545220"/>
    <w:rsid w:val="00547A2B"/>
    <w:rsid w:val="00547E3B"/>
    <w:rsid w:val="005511E0"/>
    <w:rsid w:val="0055165B"/>
    <w:rsid w:val="00554A60"/>
    <w:rsid w:val="00556907"/>
    <w:rsid w:val="00561B87"/>
    <w:rsid w:val="00561CB2"/>
    <w:rsid w:val="00561EAE"/>
    <w:rsid w:val="00562C36"/>
    <w:rsid w:val="00562F10"/>
    <w:rsid w:val="00563A0D"/>
    <w:rsid w:val="00564148"/>
    <w:rsid w:val="0056646A"/>
    <w:rsid w:val="00571AF2"/>
    <w:rsid w:val="005723D5"/>
    <w:rsid w:val="00572A73"/>
    <w:rsid w:val="005731E3"/>
    <w:rsid w:val="00573DBB"/>
    <w:rsid w:val="00574909"/>
    <w:rsid w:val="00576B48"/>
    <w:rsid w:val="00576CF2"/>
    <w:rsid w:val="00581B6C"/>
    <w:rsid w:val="00583479"/>
    <w:rsid w:val="00586176"/>
    <w:rsid w:val="00587AE5"/>
    <w:rsid w:val="00590DB7"/>
    <w:rsid w:val="00591900"/>
    <w:rsid w:val="005921BC"/>
    <w:rsid w:val="00592708"/>
    <w:rsid w:val="005935D4"/>
    <w:rsid w:val="00595F4A"/>
    <w:rsid w:val="00597DA9"/>
    <w:rsid w:val="00597F3F"/>
    <w:rsid w:val="005A0241"/>
    <w:rsid w:val="005A1B04"/>
    <w:rsid w:val="005A272D"/>
    <w:rsid w:val="005A308F"/>
    <w:rsid w:val="005A32F6"/>
    <w:rsid w:val="005A4022"/>
    <w:rsid w:val="005A54F3"/>
    <w:rsid w:val="005A6A93"/>
    <w:rsid w:val="005B1866"/>
    <w:rsid w:val="005B24AB"/>
    <w:rsid w:val="005B2943"/>
    <w:rsid w:val="005B2C55"/>
    <w:rsid w:val="005B3AAA"/>
    <w:rsid w:val="005B3BCB"/>
    <w:rsid w:val="005B476D"/>
    <w:rsid w:val="005B6C37"/>
    <w:rsid w:val="005C166B"/>
    <w:rsid w:val="005C17E8"/>
    <w:rsid w:val="005C1DAB"/>
    <w:rsid w:val="005C7FDE"/>
    <w:rsid w:val="005D247D"/>
    <w:rsid w:val="005D5A8C"/>
    <w:rsid w:val="005D6CFD"/>
    <w:rsid w:val="005D74BD"/>
    <w:rsid w:val="005E2586"/>
    <w:rsid w:val="005E2AB9"/>
    <w:rsid w:val="005E5038"/>
    <w:rsid w:val="005E628D"/>
    <w:rsid w:val="005E75E8"/>
    <w:rsid w:val="005F1173"/>
    <w:rsid w:val="005F4771"/>
    <w:rsid w:val="006010D8"/>
    <w:rsid w:val="00601B16"/>
    <w:rsid w:val="00601EDB"/>
    <w:rsid w:val="006029C7"/>
    <w:rsid w:val="00602F3B"/>
    <w:rsid w:val="00603C71"/>
    <w:rsid w:val="00604BD6"/>
    <w:rsid w:val="00604D97"/>
    <w:rsid w:val="00605110"/>
    <w:rsid w:val="00611035"/>
    <w:rsid w:val="00611562"/>
    <w:rsid w:val="00611771"/>
    <w:rsid w:val="006135A0"/>
    <w:rsid w:val="00614376"/>
    <w:rsid w:val="00614EB5"/>
    <w:rsid w:val="00616CFA"/>
    <w:rsid w:val="00621C6F"/>
    <w:rsid w:val="00623B32"/>
    <w:rsid w:val="00623B95"/>
    <w:rsid w:val="006241A9"/>
    <w:rsid w:val="0062533A"/>
    <w:rsid w:val="006318C6"/>
    <w:rsid w:val="006323A2"/>
    <w:rsid w:val="00633FBC"/>
    <w:rsid w:val="00634FDF"/>
    <w:rsid w:val="00635181"/>
    <w:rsid w:val="00635811"/>
    <w:rsid w:val="006379A5"/>
    <w:rsid w:val="006402FC"/>
    <w:rsid w:val="006405FD"/>
    <w:rsid w:val="00642098"/>
    <w:rsid w:val="00642FCB"/>
    <w:rsid w:val="00643721"/>
    <w:rsid w:val="006453E7"/>
    <w:rsid w:val="00645BCA"/>
    <w:rsid w:val="00647FA9"/>
    <w:rsid w:val="00650040"/>
    <w:rsid w:val="00654287"/>
    <w:rsid w:val="006565B4"/>
    <w:rsid w:val="006611AC"/>
    <w:rsid w:val="0066565A"/>
    <w:rsid w:val="006703C4"/>
    <w:rsid w:val="00671B1E"/>
    <w:rsid w:val="00673FB4"/>
    <w:rsid w:val="00674406"/>
    <w:rsid w:val="00674678"/>
    <w:rsid w:val="006751AB"/>
    <w:rsid w:val="0067555C"/>
    <w:rsid w:val="0067612D"/>
    <w:rsid w:val="00676B18"/>
    <w:rsid w:val="00682052"/>
    <w:rsid w:val="00683442"/>
    <w:rsid w:val="0068557B"/>
    <w:rsid w:val="0068683F"/>
    <w:rsid w:val="006910FF"/>
    <w:rsid w:val="00691C56"/>
    <w:rsid w:val="00691DE4"/>
    <w:rsid w:val="006938C7"/>
    <w:rsid w:val="00694C74"/>
    <w:rsid w:val="0069624F"/>
    <w:rsid w:val="006967EC"/>
    <w:rsid w:val="0069719E"/>
    <w:rsid w:val="006971C5"/>
    <w:rsid w:val="00697319"/>
    <w:rsid w:val="0069736A"/>
    <w:rsid w:val="006A1013"/>
    <w:rsid w:val="006A163B"/>
    <w:rsid w:val="006A16AF"/>
    <w:rsid w:val="006A1A15"/>
    <w:rsid w:val="006A26E4"/>
    <w:rsid w:val="006A2DFB"/>
    <w:rsid w:val="006A40D6"/>
    <w:rsid w:val="006A5763"/>
    <w:rsid w:val="006A611B"/>
    <w:rsid w:val="006A7BA2"/>
    <w:rsid w:val="006B02FA"/>
    <w:rsid w:val="006B0DDC"/>
    <w:rsid w:val="006B22F3"/>
    <w:rsid w:val="006B2829"/>
    <w:rsid w:val="006B3B03"/>
    <w:rsid w:val="006B5CE3"/>
    <w:rsid w:val="006B6CC5"/>
    <w:rsid w:val="006B7144"/>
    <w:rsid w:val="006B7CD6"/>
    <w:rsid w:val="006C11A5"/>
    <w:rsid w:val="006C436B"/>
    <w:rsid w:val="006C5506"/>
    <w:rsid w:val="006C6761"/>
    <w:rsid w:val="006C6FF7"/>
    <w:rsid w:val="006D3E56"/>
    <w:rsid w:val="006D7213"/>
    <w:rsid w:val="006D7C62"/>
    <w:rsid w:val="006E1664"/>
    <w:rsid w:val="006E1854"/>
    <w:rsid w:val="006E24D3"/>
    <w:rsid w:val="006E33B9"/>
    <w:rsid w:val="006E362D"/>
    <w:rsid w:val="006E52BA"/>
    <w:rsid w:val="006E569C"/>
    <w:rsid w:val="006E64D0"/>
    <w:rsid w:val="006E68E6"/>
    <w:rsid w:val="006F1F9F"/>
    <w:rsid w:val="006F22D3"/>
    <w:rsid w:val="006F4CAC"/>
    <w:rsid w:val="006F4E54"/>
    <w:rsid w:val="006F7AF0"/>
    <w:rsid w:val="006F7B0C"/>
    <w:rsid w:val="0070009B"/>
    <w:rsid w:val="00700D60"/>
    <w:rsid w:val="00701B4A"/>
    <w:rsid w:val="007033BA"/>
    <w:rsid w:val="007063DF"/>
    <w:rsid w:val="00706D9C"/>
    <w:rsid w:val="00707438"/>
    <w:rsid w:val="00707721"/>
    <w:rsid w:val="00710568"/>
    <w:rsid w:val="007105C4"/>
    <w:rsid w:val="00711D61"/>
    <w:rsid w:val="0071272C"/>
    <w:rsid w:val="00716C13"/>
    <w:rsid w:val="00716F65"/>
    <w:rsid w:val="007178F6"/>
    <w:rsid w:val="00717C89"/>
    <w:rsid w:val="00720062"/>
    <w:rsid w:val="00721573"/>
    <w:rsid w:val="00724C7D"/>
    <w:rsid w:val="00725B5D"/>
    <w:rsid w:val="00727D83"/>
    <w:rsid w:val="00732561"/>
    <w:rsid w:val="00733CDB"/>
    <w:rsid w:val="00734443"/>
    <w:rsid w:val="0073465C"/>
    <w:rsid w:val="00740044"/>
    <w:rsid w:val="00741A8F"/>
    <w:rsid w:val="00742DA2"/>
    <w:rsid w:val="00743B5C"/>
    <w:rsid w:val="00744ABF"/>
    <w:rsid w:val="00745A19"/>
    <w:rsid w:val="00745BDB"/>
    <w:rsid w:val="007505F4"/>
    <w:rsid w:val="00751C8F"/>
    <w:rsid w:val="00752E32"/>
    <w:rsid w:val="00754637"/>
    <w:rsid w:val="00757177"/>
    <w:rsid w:val="00757E51"/>
    <w:rsid w:val="00760584"/>
    <w:rsid w:val="00760705"/>
    <w:rsid w:val="00761188"/>
    <w:rsid w:val="00763122"/>
    <w:rsid w:val="00763612"/>
    <w:rsid w:val="00765CD1"/>
    <w:rsid w:val="00765D48"/>
    <w:rsid w:val="00766860"/>
    <w:rsid w:val="00766D4B"/>
    <w:rsid w:val="00770FAF"/>
    <w:rsid w:val="00771129"/>
    <w:rsid w:val="0077197F"/>
    <w:rsid w:val="00771AF9"/>
    <w:rsid w:val="00774B25"/>
    <w:rsid w:val="00775B7A"/>
    <w:rsid w:val="007770C0"/>
    <w:rsid w:val="00780774"/>
    <w:rsid w:val="00780F04"/>
    <w:rsid w:val="0078150C"/>
    <w:rsid w:val="0078413B"/>
    <w:rsid w:val="007917B4"/>
    <w:rsid w:val="007920C3"/>
    <w:rsid w:val="007921BF"/>
    <w:rsid w:val="00794C74"/>
    <w:rsid w:val="00797781"/>
    <w:rsid w:val="007A0719"/>
    <w:rsid w:val="007A3F67"/>
    <w:rsid w:val="007A44AF"/>
    <w:rsid w:val="007A4DD8"/>
    <w:rsid w:val="007A59BC"/>
    <w:rsid w:val="007A6A53"/>
    <w:rsid w:val="007A6E35"/>
    <w:rsid w:val="007A7290"/>
    <w:rsid w:val="007B00EE"/>
    <w:rsid w:val="007B0575"/>
    <w:rsid w:val="007B0CE8"/>
    <w:rsid w:val="007B104A"/>
    <w:rsid w:val="007B1521"/>
    <w:rsid w:val="007B19EA"/>
    <w:rsid w:val="007B5FB7"/>
    <w:rsid w:val="007B7DF1"/>
    <w:rsid w:val="007C0746"/>
    <w:rsid w:val="007C1E7D"/>
    <w:rsid w:val="007C31AD"/>
    <w:rsid w:val="007C4B26"/>
    <w:rsid w:val="007C7375"/>
    <w:rsid w:val="007C7F59"/>
    <w:rsid w:val="007D21B3"/>
    <w:rsid w:val="007D2622"/>
    <w:rsid w:val="007D3302"/>
    <w:rsid w:val="007D557C"/>
    <w:rsid w:val="007D63FE"/>
    <w:rsid w:val="007D7D60"/>
    <w:rsid w:val="007E013B"/>
    <w:rsid w:val="007E17AC"/>
    <w:rsid w:val="007E2365"/>
    <w:rsid w:val="007E23C2"/>
    <w:rsid w:val="007E2956"/>
    <w:rsid w:val="007E3B7F"/>
    <w:rsid w:val="007E410E"/>
    <w:rsid w:val="007E60A2"/>
    <w:rsid w:val="007E7063"/>
    <w:rsid w:val="007F06CA"/>
    <w:rsid w:val="007F08FE"/>
    <w:rsid w:val="007F384B"/>
    <w:rsid w:val="007F3DED"/>
    <w:rsid w:val="007F4EB4"/>
    <w:rsid w:val="007F5377"/>
    <w:rsid w:val="007F550C"/>
    <w:rsid w:val="007F5DE7"/>
    <w:rsid w:val="007F614D"/>
    <w:rsid w:val="007F652B"/>
    <w:rsid w:val="007F74AB"/>
    <w:rsid w:val="007F75D6"/>
    <w:rsid w:val="007F7842"/>
    <w:rsid w:val="007F7A2D"/>
    <w:rsid w:val="00804B88"/>
    <w:rsid w:val="00805824"/>
    <w:rsid w:val="00806BE8"/>
    <w:rsid w:val="00807A32"/>
    <w:rsid w:val="00810297"/>
    <w:rsid w:val="00810597"/>
    <w:rsid w:val="008151C0"/>
    <w:rsid w:val="00816B82"/>
    <w:rsid w:val="00820BA3"/>
    <w:rsid w:val="008247E7"/>
    <w:rsid w:val="008248E7"/>
    <w:rsid w:val="008261A1"/>
    <w:rsid w:val="008267BA"/>
    <w:rsid w:val="00826E66"/>
    <w:rsid w:val="00827E49"/>
    <w:rsid w:val="00830561"/>
    <w:rsid w:val="00834E1E"/>
    <w:rsid w:val="00835A7E"/>
    <w:rsid w:val="00835E38"/>
    <w:rsid w:val="0084030A"/>
    <w:rsid w:val="0084323D"/>
    <w:rsid w:val="0084350A"/>
    <w:rsid w:val="00843C5D"/>
    <w:rsid w:val="008468F6"/>
    <w:rsid w:val="00846E8E"/>
    <w:rsid w:val="00852246"/>
    <w:rsid w:val="00852AD0"/>
    <w:rsid w:val="0085367F"/>
    <w:rsid w:val="00853D36"/>
    <w:rsid w:val="0085786A"/>
    <w:rsid w:val="0086070D"/>
    <w:rsid w:val="0086171C"/>
    <w:rsid w:val="00863E0D"/>
    <w:rsid w:val="008646C9"/>
    <w:rsid w:val="008662DD"/>
    <w:rsid w:val="00866E48"/>
    <w:rsid w:val="008678D9"/>
    <w:rsid w:val="00867B67"/>
    <w:rsid w:val="00870393"/>
    <w:rsid w:val="008739BA"/>
    <w:rsid w:val="00876A77"/>
    <w:rsid w:val="00876DE5"/>
    <w:rsid w:val="00877105"/>
    <w:rsid w:val="00881868"/>
    <w:rsid w:val="00882F2D"/>
    <w:rsid w:val="00883B15"/>
    <w:rsid w:val="00884BB6"/>
    <w:rsid w:val="00886B67"/>
    <w:rsid w:val="008904AC"/>
    <w:rsid w:val="00890671"/>
    <w:rsid w:val="008918C0"/>
    <w:rsid w:val="00892857"/>
    <w:rsid w:val="008928D0"/>
    <w:rsid w:val="00893400"/>
    <w:rsid w:val="008959B8"/>
    <w:rsid w:val="00895FB1"/>
    <w:rsid w:val="00897485"/>
    <w:rsid w:val="00897751"/>
    <w:rsid w:val="008A1EA5"/>
    <w:rsid w:val="008A329C"/>
    <w:rsid w:val="008A3FB7"/>
    <w:rsid w:val="008A5933"/>
    <w:rsid w:val="008A72FE"/>
    <w:rsid w:val="008B0BCD"/>
    <w:rsid w:val="008B2057"/>
    <w:rsid w:val="008B26A8"/>
    <w:rsid w:val="008B2CD2"/>
    <w:rsid w:val="008B43E6"/>
    <w:rsid w:val="008B6A71"/>
    <w:rsid w:val="008C12C7"/>
    <w:rsid w:val="008C19AE"/>
    <w:rsid w:val="008C4635"/>
    <w:rsid w:val="008C4A48"/>
    <w:rsid w:val="008C55F8"/>
    <w:rsid w:val="008D695E"/>
    <w:rsid w:val="008D7A3B"/>
    <w:rsid w:val="008E395F"/>
    <w:rsid w:val="008E3CF4"/>
    <w:rsid w:val="008E41D1"/>
    <w:rsid w:val="008E4A1A"/>
    <w:rsid w:val="008E4B5B"/>
    <w:rsid w:val="008E5FB6"/>
    <w:rsid w:val="008E6792"/>
    <w:rsid w:val="008E7BB8"/>
    <w:rsid w:val="008F09AF"/>
    <w:rsid w:val="008F1B2D"/>
    <w:rsid w:val="008F1DA7"/>
    <w:rsid w:val="008F4232"/>
    <w:rsid w:val="008F5976"/>
    <w:rsid w:val="008F6610"/>
    <w:rsid w:val="008F7EC3"/>
    <w:rsid w:val="00900BEE"/>
    <w:rsid w:val="00904A4D"/>
    <w:rsid w:val="0090552B"/>
    <w:rsid w:val="00905FAD"/>
    <w:rsid w:val="00907BFE"/>
    <w:rsid w:val="00911ADD"/>
    <w:rsid w:val="00911B53"/>
    <w:rsid w:val="0091279F"/>
    <w:rsid w:val="00913192"/>
    <w:rsid w:val="009162F0"/>
    <w:rsid w:val="009177F2"/>
    <w:rsid w:val="00920BF3"/>
    <w:rsid w:val="009219B2"/>
    <w:rsid w:val="00922C58"/>
    <w:rsid w:val="00923938"/>
    <w:rsid w:val="00923F68"/>
    <w:rsid w:val="0092442B"/>
    <w:rsid w:val="00924D91"/>
    <w:rsid w:val="00926B04"/>
    <w:rsid w:val="00927A16"/>
    <w:rsid w:val="00930DED"/>
    <w:rsid w:val="009321DB"/>
    <w:rsid w:val="00937CBF"/>
    <w:rsid w:val="0094053D"/>
    <w:rsid w:val="00941F8F"/>
    <w:rsid w:val="0094431F"/>
    <w:rsid w:val="00944627"/>
    <w:rsid w:val="00946AEF"/>
    <w:rsid w:val="00950518"/>
    <w:rsid w:val="00951E37"/>
    <w:rsid w:val="00952FA4"/>
    <w:rsid w:val="009549A1"/>
    <w:rsid w:val="00954CE6"/>
    <w:rsid w:val="009607D5"/>
    <w:rsid w:val="0096135D"/>
    <w:rsid w:val="009625DD"/>
    <w:rsid w:val="00962639"/>
    <w:rsid w:val="0096388E"/>
    <w:rsid w:val="009659AD"/>
    <w:rsid w:val="00965D44"/>
    <w:rsid w:val="00966A16"/>
    <w:rsid w:val="00973D8D"/>
    <w:rsid w:val="00976308"/>
    <w:rsid w:val="009763E8"/>
    <w:rsid w:val="009806B1"/>
    <w:rsid w:val="009820EF"/>
    <w:rsid w:val="00982939"/>
    <w:rsid w:val="00983D7E"/>
    <w:rsid w:val="00983DAE"/>
    <w:rsid w:val="00983FAD"/>
    <w:rsid w:val="00985BB7"/>
    <w:rsid w:val="00985DB9"/>
    <w:rsid w:val="00987D92"/>
    <w:rsid w:val="009911F8"/>
    <w:rsid w:val="00991B46"/>
    <w:rsid w:val="0099223B"/>
    <w:rsid w:val="00994DD2"/>
    <w:rsid w:val="00996F03"/>
    <w:rsid w:val="0099775A"/>
    <w:rsid w:val="00997F8D"/>
    <w:rsid w:val="009A037F"/>
    <w:rsid w:val="009A0E11"/>
    <w:rsid w:val="009A1B14"/>
    <w:rsid w:val="009A37FE"/>
    <w:rsid w:val="009A42E3"/>
    <w:rsid w:val="009A4448"/>
    <w:rsid w:val="009A4F2A"/>
    <w:rsid w:val="009A62CF"/>
    <w:rsid w:val="009A7802"/>
    <w:rsid w:val="009A7D1E"/>
    <w:rsid w:val="009B006A"/>
    <w:rsid w:val="009B1AFA"/>
    <w:rsid w:val="009B23D7"/>
    <w:rsid w:val="009B26B8"/>
    <w:rsid w:val="009B42A8"/>
    <w:rsid w:val="009B4F38"/>
    <w:rsid w:val="009B5B5A"/>
    <w:rsid w:val="009B7CE9"/>
    <w:rsid w:val="009C0E5C"/>
    <w:rsid w:val="009C2B95"/>
    <w:rsid w:val="009C512F"/>
    <w:rsid w:val="009C5A0F"/>
    <w:rsid w:val="009C62FF"/>
    <w:rsid w:val="009C74EC"/>
    <w:rsid w:val="009C78EE"/>
    <w:rsid w:val="009D3156"/>
    <w:rsid w:val="009D4190"/>
    <w:rsid w:val="009D4430"/>
    <w:rsid w:val="009D6C2D"/>
    <w:rsid w:val="009E011E"/>
    <w:rsid w:val="009E0264"/>
    <w:rsid w:val="009E18AE"/>
    <w:rsid w:val="009E254D"/>
    <w:rsid w:val="009E3BDF"/>
    <w:rsid w:val="009E4444"/>
    <w:rsid w:val="009E65EF"/>
    <w:rsid w:val="009F0224"/>
    <w:rsid w:val="009F3A8F"/>
    <w:rsid w:val="009F6A96"/>
    <w:rsid w:val="00A002EB"/>
    <w:rsid w:val="00A002F0"/>
    <w:rsid w:val="00A00C40"/>
    <w:rsid w:val="00A03E5B"/>
    <w:rsid w:val="00A05612"/>
    <w:rsid w:val="00A07462"/>
    <w:rsid w:val="00A1087E"/>
    <w:rsid w:val="00A13289"/>
    <w:rsid w:val="00A14008"/>
    <w:rsid w:val="00A14CE5"/>
    <w:rsid w:val="00A16EEC"/>
    <w:rsid w:val="00A17154"/>
    <w:rsid w:val="00A17D96"/>
    <w:rsid w:val="00A20C96"/>
    <w:rsid w:val="00A23EDD"/>
    <w:rsid w:val="00A24A4D"/>
    <w:rsid w:val="00A24BD9"/>
    <w:rsid w:val="00A26634"/>
    <w:rsid w:val="00A319E2"/>
    <w:rsid w:val="00A332A6"/>
    <w:rsid w:val="00A33773"/>
    <w:rsid w:val="00A338C4"/>
    <w:rsid w:val="00A33A8F"/>
    <w:rsid w:val="00A33E98"/>
    <w:rsid w:val="00A3582F"/>
    <w:rsid w:val="00A35C0A"/>
    <w:rsid w:val="00A42D1E"/>
    <w:rsid w:val="00A44BB3"/>
    <w:rsid w:val="00A44C71"/>
    <w:rsid w:val="00A44F9A"/>
    <w:rsid w:val="00A47277"/>
    <w:rsid w:val="00A50539"/>
    <w:rsid w:val="00A5166E"/>
    <w:rsid w:val="00A52DE5"/>
    <w:rsid w:val="00A53B20"/>
    <w:rsid w:val="00A54337"/>
    <w:rsid w:val="00A543C2"/>
    <w:rsid w:val="00A55D4C"/>
    <w:rsid w:val="00A561F9"/>
    <w:rsid w:val="00A5622D"/>
    <w:rsid w:val="00A60ED1"/>
    <w:rsid w:val="00A61895"/>
    <w:rsid w:val="00A62EF7"/>
    <w:rsid w:val="00A70412"/>
    <w:rsid w:val="00A714DD"/>
    <w:rsid w:val="00A7200B"/>
    <w:rsid w:val="00A7241B"/>
    <w:rsid w:val="00A72F5B"/>
    <w:rsid w:val="00A73004"/>
    <w:rsid w:val="00A7379C"/>
    <w:rsid w:val="00A74831"/>
    <w:rsid w:val="00A7608D"/>
    <w:rsid w:val="00A764F5"/>
    <w:rsid w:val="00A7733A"/>
    <w:rsid w:val="00A77BB9"/>
    <w:rsid w:val="00A80072"/>
    <w:rsid w:val="00A80DB7"/>
    <w:rsid w:val="00A827FD"/>
    <w:rsid w:val="00A832EF"/>
    <w:rsid w:val="00A83DDF"/>
    <w:rsid w:val="00A84FA6"/>
    <w:rsid w:val="00A8519A"/>
    <w:rsid w:val="00A85D7A"/>
    <w:rsid w:val="00A915F7"/>
    <w:rsid w:val="00A91AA7"/>
    <w:rsid w:val="00A9379F"/>
    <w:rsid w:val="00A94F87"/>
    <w:rsid w:val="00A96112"/>
    <w:rsid w:val="00A96C3A"/>
    <w:rsid w:val="00A96E7F"/>
    <w:rsid w:val="00AA107F"/>
    <w:rsid w:val="00AA36E3"/>
    <w:rsid w:val="00AA4F9E"/>
    <w:rsid w:val="00AA7571"/>
    <w:rsid w:val="00AB02CF"/>
    <w:rsid w:val="00AB3151"/>
    <w:rsid w:val="00AB3CD5"/>
    <w:rsid w:val="00AB7443"/>
    <w:rsid w:val="00AB76F4"/>
    <w:rsid w:val="00AB7C82"/>
    <w:rsid w:val="00AC0C74"/>
    <w:rsid w:val="00AC3E51"/>
    <w:rsid w:val="00AC43FD"/>
    <w:rsid w:val="00AC49EA"/>
    <w:rsid w:val="00AC7DC0"/>
    <w:rsid w:val="00AD1316"/>
    <w:rsid w:val="00AD2249"/>
    <w:rsid w:val="00AD238E"/>
    <w:rsid w:val="00AD2F18"/>
    <w:rsid w:val="00AD35E3"/>
    <w:rsid w:val="00AD6268"/>
    <w:rsid w:val="00AD6C04"/>
    <w:rsid w:val="00AE00B7"/>
    <w:rsid w:val="00AE096F"/>
    <w:rsid w:val="00AE2597"/>
    <w:rsid w:val="00AE2C8F"/>
    <w:rsid w:val="00AE36C9"/>
    <w:rsid w:val="00AE4B94"/>
    <w:rsid w:val="00AE67DD"/>
    <w:rsid w:val="00AE797F"/>
    <w:rsid w:val="00AF1262"/>
    <w:rsid w:val="00AF1DF8"/>
    <w:rsid w:val="00AF231C"/>
    <w:rsid w:val="00AF3A13"/>
    <w:rsid w:val="00AF3B17"/>
    <w:rsid w:val="00AF4AE5"/>
    <w:rsid w:val="00AF6380"/>
    <w:rsid w:val="00AF6984"/>
    <w:rsid w:val="00AF77D7"/>
    <w:rsid w:val="00AF7903"/>
    <w:rsid w:val="00B0111F"/>
    <w:rsid w:val="00B01DEC"/>
    <w:rsid w:val="00B02680"/>
    <w:rsid w:val="00B066F5"/>
    <w:rsid w:val="00B10FCD"/>
    <w:rsid w:val="00B12AE1"/>
    <w:rsid w:val="00B1549E"/>
    <w:rsid w:val="00B1580B"/>
    <w:rsid w:val="00B168A4"/>
    <w:rsid w:val="00B16B50"/>
    <w:rsid w:val="00B1790D"/>
    <w:rsid w:val="00B207E4"/>
    <w:rsid w:val="00B219B0"/>
    <w:rsid w:val="00B21ADD"/>
    <w:rsid w:val="00B23947"/>
    <w:rsid w:val="00B266F1"/>
    <w:rsid w:val="00B26B56"/>
    <w:rsid w:val="00B26F8C"/>
    <w:rsid w:val="00B274C9"/>
    <w:rsid w:val="00B30062"/>
    <w:rsid w:val="00B30565"/>
    <w:rsid w:val="00B30FE3"/>
    <w:rsid w:val="00B312C6"/>
    <w:rsid w:val="00B3229E"/>
    <w:rsid w:val="00B334B6"/>
    <w:rsid w:val="00B33F9A"/>
    <w:rsid w:val="00B34622"/>
    <w:rsid w:val="00B34998"/>
    <w:rsid w:val="00B36129"/>
    <w:rsid w:val="00B401F9"/>
    <w:rsid w:val="00B426CF"/>
    <w:rsid w:val="00B430AA"/>
    <w:rsid w:val="00B43132"/>
    <w:rsid w:val="00B46125"/>
    <w:rsid w:val="00B54916"/>
    <w:rsid w:val="00B56EEF"/>
    <w:rsid w:val="00B57154"/>
    <w:rsid w:val="00B60350"/>
    <w:rsid w:val="00B60ACF"/>
    <w:rsid w:val="00B6117D"/>
    <w:rsid w:val="00B631F9"/>
    <w:rsid w:val="00B651C0"/>
    <w:rsid w:val="00B7045F"/>
    <w:rsid w:val="00B70637"/>
    <w:rsid w:val="00B7063B"/>
    <w:rsid w:val="00B711A3"/>
    <w:rsid w:val="00B71CA4"/>
    <w:rsid w:val="00B743E2"/>
    <w:rsid w:val="00B74839"/>
    <w:rsid w:val="00B76F77"/>
    <w:rsid w:val="00B7707F"/>
    <w:rsid w:val="00B77E67"/>
    <w:rsid w:val="00B81ADA"/>
    <w:rsid w:val="00B841B1"/>
    <w:rsid w:val="00B84AD6"/>
    <w:rsid w:val="00B85EA9"/>
    <w:rsid w:val="00B878B4"/>
    <w:rsid w:val="00B878BD"/>
    <w:rsid w:val="00B87ED1"/>
    <w:rsid w:val="00B90C63"/>
    <w:rsid w:val="00B92939"/>
    <w:rsid w:val="00B9304D"/>
    <w:rsid w:val="00B9372F"/>
    <w:rsid w:val="00B93CE0"/>
    <w:rsid w:val="00B94703"/>
    <w:rsid w:val="00B94A67"/>
    <w:rsid w:val="00B94DBE"/>
    <w:rsid w:val="00B950DE"/>
    <w:rsid w:val="00B958FC"/>
    <w:rsid w:val="00B96011"/>
    <w:rsid w:val="00B96201"/>
    <w:rsid w:val="00BA00A9"/>
    <w:rsid w:val="00BA0AB9"/>
    <w:rsid w:val="00BA377D"/>
    <w:rsid w:val="00BA58CC"/>
    <w:rsid w:val="00BA6123"/>
    <w:rsid w:val="00BA62DC"/>
    <w:rsid w:val="00BB01F9"/>
    <w:rsid w:val="00BB24F5"/>
    <w:rsid w:val="00BB397D"/>
    <w:rsid w:val="00BB3D68"/>
    <w:rsid w:val="00BB41CF"/>
    <w:rsid w:val="00BB4BD1"/>
    <w:rsid w:val="00BB5C95"/>
    <w:rsid w:val="00BD0323"/>
    <w:rsid w:val="00BD250C"/>
    <w:rsid w:val="00BD290B"/>
    <w:rsid w:val="00BD291F"/>
    <w:rsid w:val="00BD2F96"/>
    <w:rsid w:val="00BD426C"/>
    <w:rsid w:val="00BD6204"/>
    <w:rsid w:val="00BD7043"/>
    <w:rsid w:val="00BD79CD"/>
    <w:rsid w:val="00BD7CF3"/>
    <w:rsid w:val="00BE4263"/>
    <w:rsid w:val="00BE48F3"/>
    <w:rsid w:val="00BE4FB1"/>
    <w:rsid w:val="00BE6409"/>
    <w:rsid w:val="00BE6D56"/>
    <w:rsid w:val="00BE754A"/>
    <w:rsid w:val="00BE76BA"/>
    <w:rsid w:val="00BE7BED"/>
    <w:rsid w:val="00BF02C2"/>
    <w:rsid w:val="00BF230D"/>
    <w:rsid w:val="00BF469F"/>
    <w:rsid w:val="00BF62AA"/>
    <w:rsid w:val="00BF7529"/>
    <w:rsid w:val="00BF75E2"/>
    <w:rsid w:val="00BF7809"/>
    <w:rsid w:val="00C00C8E"/>
    <w:rsid w:val="00C00DE7"/>
    <w:rsid w:val="00C02FF5"/>
    <w:rsid w:val="00C03DA9"/>
    <w:rsid w:val="00C0573C"/>
    <w:rsid w:val="00C07A18"/>
    <w:rsid w:val="00C07C73"/>
    <w:rsid w:val="00C121B6"/>
    <w:rsid w:val="00C1274C"/>
    <w:rsid w:val="00C1363F"/>
    <w:rsid w:val="00C15EB8"/>
    <w:rsid w:val="00C16159"/>
    <w:rsid w:val="00C24BC5"/>
    <w:rsid w:val="00C254BE"/>
    <w:rsid w:val="00C25F0C"/>
    <w:rsid w:val="00C308E1"/>
    <w:rsid w:val="00C3274C"/>
    <w:rsid w:val="00C355A5"/>
    <w:rsid w:val="00C4005C"/>
    <w:rsid w:val="00C40DC4"/>
    <w:rsid w:val="00C41536"/>
    <w:rsid w:val="00C44FD6"/>
    <w:rsid w:val="00C45987"/>
    <w:rsid w:val="00C4752B"/>
    <w:rsid w:val="00C50544"/>
    <w:rsid w:val="00C5085D"/>
    <w:rsid w:val="00C568D5"/>
    <w:rsid w:val="00C5698D"/>
    <w:rsid w:val="00C57A76"/>
    <w:rsid w:val="00C60CCE"/>
    <w:rsid w:val="00C6253E"/>
    <w:rsid w:val="00C6402E"/>
    <w:rsid w:val="00C642E0"/>
    <w:rsid w:val="00C64F9A"/>
    <w:rsid w:val="00C65884"/>
    <w:rsid w:val="00C65D00"/>
    <w:rsid w:val="00C65D14"/>
    <w:rsid w:val="00C669BF"/>
    <w:rsid w:val="00C66E6F"/>
    <w:rsid w:val="00C67BE7"/>
    <w:rsid w:val="00C710B5"/>
    <w:rsid w:val="00C713C3"/>
    <w:rsid w:val="00C714D9"/>
    <w:rsid w:val="00C72296"/>
    <w:rsid w:val="00C75712"/>
    <w:rsid w:val="00C757A4"/>
    <w:rsid w:val="00C767E7"/>
    <w:rsid w:val="00C7690C"/>
    <w:rsid w:val="00C77F71"/>
    <w:rsid w:val="00C8437F"/>
    <w:rsid w:val="00C849FF"/>
    <w:rsid w:val="00C853D2"/>
    <w:rsid w:val="00C915D1"/>
    <w:rsid w:val="00C9466E"/>
    <w:rsid w:val="00C95150"/>
    <w:rsid w:val="00C9588A"/>
    <w:rsid w:val="00C960DC"/>
    <w:rsid w:val="00CA2161"/>
    <w:rsid w:val="00CA30F8"/>
    <w:rsid w:val="00CA3102"/>
    <w:rsid w:val="00CA74AF"/>
    <w:rsid w:val="00CA74C1"/>
    <w:rsid w:val="00CB0E96"/>
    <w:rsid w:val="00CB15C1"/>
    <w:rsid w:val="00CB1AA1"/>
    <w:rsid w:val="00CB2E77"/>
    <w:rsid w:val="00CB39B0"/>
    <w:rsid w:val="00CB5DA7"/>
    <w:rsid w:val="00CB6428"/>
    <w:rsid w:val="00CB6A54"/>
    <w:rsid w:val="00CC0F8C"/>
    <w:rsid w:val="00CC110B"/>
    <w:rsid w:val="00CC145D"/>
    <w:rsid w:val="00CC2C04"/>
    <w:rsid w:val="00CC410B"/>
    <w:rsid w:val="00CC5460"/>
    <w:rsid w:val="00CC726A"/>
    <w:rsid w:val="00CC7DFF"/>
    <w:rsid w:val="00CD515E"/>
    <w:rsid w:val="00CD6A2B"/>
    <w:rsid w:val="00CE0995"/>
    <w:rsid w:val="00CE14A3"/>
    <w:rsid w:val="00CE40A1"/>
    <w:rsid w:val="00CE6F65"/>
    <w:rsid w:val="00CE75F1"/>
    <w:rsid w:val="00CF0C2E"/>
    <w:rsid w:val="00CF1570"/>
    <w:rsid w:val="00CF2828"/>
    <w:rsid w:val="00CF2E65"/>
    <w:rsid w:val="00CF36F0"/>
    <w:rsid w:val="00CF5B28"/>
    <w:rsid w:val="00CF5F26"/>
    <w:rsid w:val="00CF642C"/>
    <w:rsid w:val="00D008BC"/>
    <w:rsid w:val="00D00F65"/>
    <w:rsid w:val="00D01278"/>
    <w:rsid w:val="00D029F8"/>
    <w:rsid w:val="00D03F78"/>
    <w:rsid w:val="00D04071"/>
    <w:rsid w:val="00D04948"/>
    <w:rsid w:val="00D0525D"/>
    <w:rsid w:val="00D05502"/>
    <w:rsid w:val="00D1098B"/>
    <w:rsid w:val="00D12633"/>
    <w:rsid w:val="00D13189"/>
    <w:rsid w:val="00D15682"/>
    <w:rsid w:val="00D15C89"/>
    <w:rsid w:val="00D167E5"/>
    <w:rsid w:val="00D20EE5"/>
    <w:rsid w:val="00D264BF"/>
    <w:rsid w:val="00D26671"/>
    <w:rsid w:val="00D26749"/>
    <w:rsid w:val="00D26813"/>
    <w:rsid w:val="00D278F5"/>
    <w:rsid w:val="00D27CF7"/>
    <w:rsid w:val="00D30CF6"/>
    <w:rsid w:val="00D34D56"/>
    <w:rsid w:val="00D34FF6"/>
    <w:rsid w:val="00D355FD"/>
    <w:rsid w:val="00D35C45"/>
    <w:rsid w:val="00D35CD7"/>
    <w:rsid w:val="00D35F71"/>
    <w:rsid w:val="00D36AD9"/>
    <w:rsid w:val="00D4054C"/>
    <w:rsid w:val="00D41155"/>
    <w:rsid w:val="00D41E08"/>
    <w:rsid w:val="00D46544"/>
    <w:rsid w:val="00D46A14"/>
    <w:rsid w:val="00D5082B"/>
    <w:rsid w:val="00D513AE"/>
    <w:rsid w:val="00D51B64"/>
    <w:rsid w:val="00D53350"/>
    <w:rsid w:val="00D55C79"/>
    <w:rsid w:val="00D5778C"/>
    <w:rsid w:val="00D6357D"/>
    <w:rsid w:val="00D64628"/>
    <w:rsid w:val="00D65064"/>
    <w:rsid w:val="00D65AE3"/>
    <w:rsid w:val="00D6752D"/>
    <w:rsid w:val="00D67BFB"/>
    <w:rsid w:val="00D70272"/>
    <w:rsid w:val="00D71241"/>
    <w:rsid w:val="00D7280F"/>
    <w:rsid w:val="00D753ED"/>
    <w:rsid w:val="00D76DA5"/>
    <w:rsid w:val="00D81925"/>
    <w:rsid w:val="00D862E7"/>
    <w:rsid w:val="00D86794"/>
    <w:rsid w:val="00D86BDA"/>
    <w:rsid w:val="00D8710E"/>
    <w:rsid w:val="00D87DF4"/>
    <w:rsid w:val="00D90784"/>
    <w:rsid w:val="00D90DF8"/>
    <w:rsid w:val="00D9255A"/>
    <w:rsid w:val="00D92E32"/>
    <w:rsid w:val="00D935DD"/>
    <w:rsid w:val="00D93BC0"/>
    <w:rsid w:val="00D943E5"/>
    <w:rsid w:val="00D96252"/>
    <w:rsid w:val="00D969E5"/>
    <w:rsid w:val="00D97F8D"/>
    <w:rsid w:val="00DA03F9"/>
    <w:rsid w:val="00DA06C1"/>
    <w:rsid w:val="00DA0A2F"/>
    <w:rsid w:val="00DA26F1"/>
    <w:rsid w:val="00DA28F7"/>
    <w:rsid w:val="00DA7586"/>
    <w:rsid w:val="00DB121A"/>
    <w:rsid w:val="00DB6E42"/>
    <w:rsid w:val="00DC0051"/>
    <w:rsid w:val="00DC1B9E"/>
    <w:rsid w:val="00DC4F3F"/>
    <w:rsid w:val="00DC4FF3"/>
    <w:rsid w:val="00DC54E0"/>
    <w:rsid w:val="00DC6D63"/>
    <w:rsid w:val="00DC72C8"/>
    <w:rsid w:val="00DD0D46"/>
    <w:rsid w:val="00DD1B6E"/>
    <w:rsid w:val="00DD1CDB"/>
    <w:rsid w:val="00DD1E28"/>
    <w:rsid w:val="00DD45B3"/>
    <w:rsid w:val="00DE0712"/>
    <w:rsid w:val="00DE1604"/>
    <w:rsid w:val="00DE1954"/>
    <w:rsid w:val="00DE2AC8"/>
    <w:rsid w:val="00DE3726"/>
    <w:rsid w:val="00DE3D45"/>
    <w:rsid w:val="00DE3F9D"/>
    <w:rsid w:val="00DE5AA5"/>
    <w:rsid w:val="00DE732A"/>
    <w:rsid w:val="00DE74BF"/>
    <w:rsid w:val="00DE7568"/>
    <w:rsid w:val="00DE7715"/>
    <w:rsid w:val="00DE7F10"/>
    <w:rsid w:val="00DF0A1A"/>
    <w:rsid w:val="00DF1B88"/>
    <w:rsid w:val="00DF1DF5"/>
    <w:rsid w:val="00DF71F5"/>
    <w:rsid w:val="00DF7AD3"/>
    <w:rsid w:val="00DF7B47"/>
    <w:rsid w:val="00E00E29"/>
    <w:rsid w:val="00E021EB"/>
    <w:rsid w:val="00E02C14"/>
    <w:rsid w:val="00E03C08"/>
    <w:rsid w:val="00E04543"/>
    <w:rsid w:val="00E0606B"/>
    <w:rsid w:val="00E1279E"/>
    <w:rsid w:val="00E12924"/>
    <w:rsid w:val="00E129AC"/>
    <w:rsid w:val="00E13401"/>
    <w:rsid w:val="00E136A6"/>
    <w:rsid w:val="00E1479D"/>
    <w:rsid w:val="00E15F47"/>
    <w:rsid w:val="00E169B7"/>
    <w:rsid w:val="00E1772D"/>
    <w:rsid w:val="00E2029B"/>
    <w:rsid w:val="00E21230"/>
    <w:rsid w:val="00E21EC1"/>
    <w:rsid w:val="00E236B9"/>
    <w:rsid w:val="00E25A14"/>
    <w:rsid w:val="00E261EB"/>
    <w:rsid w:val="00E27ADB"/>
    <w:rsid w:val="00E27F6B"/>
    <w:rsid w:val="00E307FD"/>
    <w:rsid w:val="00E31592"/>
    <w:rsid w:val="00E333C3"/>
    <w:rsid w:val="00E35097"/>
    <w:rsid w:val="00E353E2"/>
    <w:rsid w:val="00E35464"/>
    <w:rsid w:val="00E36757"/>
    <w:rsid w:val="00E4045A"/>
    <w:rsid w:val="00E41B69"/>
    <w:rsid w:val="00E468F3"/>
    <w:rsid w:val="00E4725D"/>
    <w:rsid w:val="00E51147"/>
    <w:rsid w:val="00E54537"/>
    <w:rsid w:val="00E55EBC"/>
    <w:rsid w:val="00E5714D"/>
    <w:rsid w:val="00E5791E"/>
    <w:rsid w:val="00E60115"/>
    <w:rsid w:val="00E620CF"/>
    <w:rsid w:val="00E62CBC"/>
    <w:rsid w:val="00E62EC9"/>
    <w:rsid w:val="00E635BE"/>
    <w:rsid w:val="00E64A1B"/>
    <w:rsid w:val="00E6529E"/>
    <w:rsid w:val="00E654D3"/>
    <w:rsid w:val="00E65C54"/>
    <w:rsid w:val="00E66B39"/>
    <w:rsid w:val="00E66D3D"/>
    <w:rsid w:val="00E718F6"/>
    <w:rsid w:val="00E71E5E"/>
    <w:rsid w:val="00E72561"/>
    <w:rsid w:val="00E730D8"/>
    <w:rsid w:val="00E734A8"/>
    <w:rsid w:val="00E74474"/>
    <w:rsid w:val="00E751D5"/>
    <w:rsid w:val="00E75FA6"/>
    <w:rsid w:val="00E77407"/>
    <w:rsid w:val="00E7775A"/>
    <w:rsid w:val="00E8075F"/>
    <w:rsid w:val="00E80A41"/>
    <w:rsid w:val="00E80DB2"/>
    <w:rsid w:val="00E842C0"/>
    <w:rsid w:val="00E848AB"/>
    <w:rsid w:val="00E84B64"/>
    <w:rsid w:val="00E865C5"/>
    <w:rsid w:val="00E92CBC"/>
    <w:rsid w:val="00E92D08"/>
    <w:rsid w:val="00E94433"/>
    <w:rsid w:val="00E968D4"/>
    <w:rsid w:val="00E968E9"/>
    <w:rsid w:val="00EA10FA"/>
    <w:rsid w:val="00EA4689"/>
    <w:rsid w:val="00EA4910"/>
    <w:rsid w:val="00EA6051"/>
    <w:rsid w:val="00EA7672"/>
    <w:rsid w:val="00EB07C4"/>
    <w:rsid w:val="00EB2521"/>
    <w:rsid w:val="00EB2B4A"/>
    <w:rsid w:val="00EB5F48"/>
    <w:rsid w:val="00EC25E7"/>
    <w:rsid w:val="00EC4ADF"/>
    <w:rsid w:val="00EC606D"/>
    <w:rsid w:val="00EC7AAD"/>
    <w:rsid w:val="00ED4CAE"/>
    <w:rsid w:val="00ED4F37"/>
    <w:rsid w:val="00ED68CC"/>
    <w:rsid w:val="00ED6FF4"/>
    <w:rsid w:val="00EE005D"/>
    <w:rsid w:val="00EE1DA9"/>
    <w:rsid w:val="00EE257C"/>
    <w:rsid w:val="00EE47F9"/>
    <w:rsid w:val="00EE4A1B"/>
    <w:rsid w:val="00EE57DA"/>
    <w:rsid w:val="00EE5C52"/>
    <w:rsid w:val="00EE7AAF"/>
    <w:rsid w:val="00EF2CC1"/>
    <w:rsid w:val="00EF4CB9"/>
    <w:rsid w:val="00EF6E02"/>
    <w:rsid w:val="00F00857"/>
    <w:rsid w:val="00F03953"/>
    <w:rsid w:val="00F03978"/>
    <w:rsid w:val="00F03BEC"/>
    <w:rsid w:val="00F058EC"/>
    <w:rsid w:val="00F066FC"/>
    <w:rsid w:val="00F07677"/>
    <w:rsid w:val="00F079EE"/>
    <w:rsid w:val="00F07AE8"/>
    <w:rsid w:val="00F10BCA"/>
    <w:rsid w:val="00F10DDA"/>
    <w:rsid w:val="00F11C00"/>
    <w:rsid w:val="00F13010"/>
    <w:rsid w:val="00F1568E"/>
    <w:rsid w:val="00F23DE9"/>
    <w:rsid w:val="00F24185"/>
    <w:rsid w:val="00F246DB"/>
    <w:rsid w:val="00F25A92"/>
    <w:rsid w:val="00F26304"/>
    <w:rsid w:val="00F27805"/>
    <w:rsid w:val="00F27F5A"/>
    <w:rsid w:val="00F3236E"/>
    <w:rsid w:val="00F3441A"/>
    <w:rsid w:val="00F350B4"/>
    <w:rsid w:val="00F3777A"/>
    <w:rsid w:val="00F40D1B"/>
    <w:rsid w:val="00F425B9"/>
    <w:rsid w:val="00F42B77"/>
    <w:rsid w:val="00F455C6"/>
    <w:rsid w:val="00F45E77"/>
    <w:rsid w:val="00F50896"/>
    <w:rsid w:val="00F515F3"/>
    <w:rsid w:val="00F51656"/>
    <w:rsid w:val="00F526BD"/>
    <w:rsid w:val="00F562CF"/>
    <w:rsid w:val="00F605AC"/>
    <w:rsid w:val="00F615FA"/>
    <w:rsid w:val="00F6401E"/>
    <w:rsid w:val="00F646A1"/>
    <w:rsid w:val="00F660C9"/>
    <w:rsid w:val="00F677F8"/>
    <w:rsid w:val="00F70110"/>
    <w:rsid w:val="00F71A2A"/>
    <w:rsid w:val="00F728A5"/>
    <w:rsid w:val="00F752B8"/>
    <w:rsid w:val="00F77355"/>
    <w:rsid w:val="00F829B1"/>
    <w:rsid w:val="00F83D6D"/>
    <w:rsid w:val="00F841A1"/>
    <w:rsid w:val="00F85985"/>
    <w:rsid w:val="00F90DAF"/>
    <w:rsid w:val="00F91A60"/>
    <w:rsid w:val="00F9323D"/>
    <w:rsid w:val="00F93890"/>
    <w:rsid w:val="00F940F1"/>
    <w:rsid w:val="00F9598E"/>
    <w:rsid w:val="00FA16DD"/>
    <w:rsid w:val="00FA5B1A"/>
    <w:rsid w:val="00FA6802"/>
    <w:rsid w:val="00FA766C"/>
    <w:rsid w:val="00FB047C"/>
    <w:rsid w:val="00FB0827"/>
    <w:rsid w:val="00FB212C"/>
    <w:rsid w:val="00FB21E0"/>
    <w:rsid w:val="00FB3081"/>
    <w:rsid w:val="00FB3254"/>
    <w:rsid w:val="00FB3335"/>
    <w:rsid w:val="00FB5E88"/>
    <w:rsid w:val="00FB6D2F"/>
    <w:rsid w:val="00FB75B6"/>
    <w:rsid w:val="00FC235C"/>
    <w:rsid w:val="00FC358C"/>
    <w:rsid w:val="00FC39E4"/>
    <w:rsid w:val="00FC42F9"/>
    <w:rsid w:val="00FC4BC0"/>
    <w:rsid w:val="00FC6830"/>
    <w:rsid w:val="00FC74FE"/>
    <w:rsid w:val="00FD06EF"/>
    <w:rsid w:val="00FD1C48"/>
    <w:rsid w:val="00FD3313"/>
    <w:rsid w:val="00FD4887"/>
    <w:rsid w:val="00FD561B"/>
    <w:rsid w:val="00FD79B1"/>
    <w:rsid w:val="00FD7AE5"/>
    <w:rsid w:val="00FE0E5B"/>
    <w:rsid w:val="00FE16D8"/>
    <w:rsid w:val="00FE26C9"/>
    <w:rsid w:val="00FE2EBF"/>
    <w:rsid w:val="00FE36E2"/>
    <w:rsid w:val="00FE4631"/>
    <w:rsid w:val="00FE72BD"/>
    <w:rsid w:val="00FF0D46"/>
    <w:rsid w:val="00FF16A7"/>
    <w:rsid w:val="00FF174A"/>
    <w:rsid w:val="00FF210D"/>
    <w:rsid w:val="00FF28CA"/>
    <w:rsid w:val="00FF4114"/>
    <w:rsid w:val="00FF418B"/>
    <w:rsid w:val="01136D44"/>
    <w:rsid w:val="011E757E"/>
    <w:rsid w:val="012415F6"/>
    <w:rsid w:val="012A3A24"/>
    <w:rsid w:val="013248F3"/>
    <w:rsid w:val="01413145"/>
    <w:rsid w:val="0143037B"/>
    <w:rsid w:val="014545C7"/>
    <w:rsid w:val="014F4893"/>
    <w:rsid w:val="01742B6A"/>
    <w:rsid w:val="01776040"/>
    <w:rsid w:val="018C152A"/>
    <w:rsid w:val="01933C04"/>
    <w:rsid w:val="019538F1"/>
    <w:rsid w:val="01A050EF"/>
    <w:rsid w:val="01B7453F"/>
    <w:rsid w:val="01B82E43"/>
    <w:rsid w:val="01BA042F"/>
    <w:rsid w:val="01C80977"/>
    <w:rsid w:val="01D84888"/>
    <w:rsid w:val="01DB44F6"/>
    <w:rsid w:val="01E656A0"/>
    <w:rsid w:val="01F069E3"/>
    <w:rsid w:val="01FB4810"/>
    <w:rsid w:val="020B07BA"/>
    <w:rsid w:val="020C66C9"/>
    <w:rsid w:val="021616E1"/>
    <w:rsid w:val="02225B04"/>
    <w:rsid w:val="02250A7A"/>
    <w:rsid w:val="022F5369"/>
    <w:rsid w:val="023006F6"/>
    <w:rsid w:val="026279FA"/>
    <w:rsid w:val="026779BA"/>
    <w:rsid w:val="026A18CB"/>
    <w:rsid w:val="026A5989"/>
    <w:rsid w:val="026E6216"/>
    <w:rsid w:val="02871E64"/>
    <w:rsid w:val="029D1F79"/>
    <w:rsid w:val="02A53ED1"/>
    <w:rsid w:val="02A561EB"/>
    <w:rsid w:val="02AB73E6"/>
    <w:rsid w:val="02AD508D"/>
    <w:rsid w:val="02BF15A4"/>
    <w:rsid w:val="02C313FE"/>
    <w:rsid w:val="02DD00D7"/>
    <w:rsid w:val="02E13D28"/>
    <w:rsid w:val="02E66195"/>
    <w:rsid w:val="02EA1C1A"/>
    <w:rsid w:val="02F948D0"/>
    <w:rsid w:val="03023F72"/>
    <w:rsid w:val="03065D0A"/>
    <w:rsid w:val="0307721E"/>
    <w:rsid w:val="032F672A"/>
    <w:rsid w:val="03374327"/>
    <w:rsid w:val="033C0E47"/>
    <w:rsid w:val="03426849"/>
    <w:rsid w:val="035C4B69"/>
    <w:rsid w:val="03630182"/>
    <w:rsid w:val="037E320E"/>
    <w:rsid w:val="037F27E7"/>
    <w:rsid w:val="03990F74"/>
    <w:rsid w:val="03CE1C3B"/>
    <w:rsid w:val="03CE7998"/>
    <w:rsid w:val="03D76401"/>
    <w:rsid w:val="03D93C0F"/>
    <w:rsid w:val="03E56586"/>
    <w:rsid w:val="03F31506"/>
    <w:rsid w:val="03F4403D"/>
    <w:rsid w:val="0403274D"/>
    <w:rsid w:val="0409553F"/>
    <w:rsid w:val="041B36CD"/>
    <w:rsid w:val="041C3746"/>
    <w:rsid w:val="0431202E"/>
    <w:rsid w:val="0437158D"/>
    <w:rsid w:val="043F36C7"/>
    <w:rsid w:val="044C3B08"/>
    <w:rsid w:val="04730898"/>
    <w:rsid w:val="04755499"/>
    <w:rsid w:val="04853225"/>
    <w:rsid w:val="0486018F"/>
    <w:rsid w:val="048E42C3"/>
    <w:rsid w:val="049D2E73"/>
    <w:rsid w:val="04A92F39"/>
    <w:rsid w:val="04B16178"/>
    <w:rsid w:val="04B65FC2"/>
    <w:rsid w:val="04C2151C"/>
    <w:rsid w:val="04C42EA2"/>
    <w:rsid w:val="04CB393F"/>
    <w:rsid w:val="04D34577"/>
    <w:rsid w:val="04E03E10"/>
    <w:rsid w:val="04F12C23"/>
    <w:rsid w:val="04F444AF"/>
    <w:rsid w:val="050C17D0"/>
    <w:rsid w:val="050E1D96"/>
    <w:rsid w:val="050F1F3D"/>
    <w:rsid w:val="05114226"/>
    <w:rsid w:val="05212F61"/>
    <w:rsid w:val="05305791"/>
    <w:rsid w:val="053127AE"/>
    <w:rsid w:val="05371801"/>
    <w:rsid w:val="054D10EA"/>
    <w:rsid w:val="05524952"/>
    <w:rsid w:val="05591424"/>
    <w:rsid w:val="055A7363"/>
    <w:rsid w:val="056B197B"/>
    <w:rsid w:val="058368B9"/>
    <w:rsid w:val="058B2A0E"/>
    <w:rsid w:val="05A241AF"/>
    <w:rsid w:val="05AC17C1"/>
    <w:rsid w:val="05EC4CC6"/>
    <w:rsid w:val="05EE0A1D"/>
    <w:rsid w:val="061340E1"/>
    <w:rsid w:val="06165D51"/>
    <w:rsid w:val="06177D1B"/>
    <w:rsid w:val="0629757D"/>
    <w:rsid w:val="064048FE"/>
    <w:rsid w:val="06471473"/>
    <w:rsid w:val="064F6EB2"/>
    <w:rsid w:val="06620BC5"/>
    <w:rsid w:val="06677F89"/>
    <w:rsid w:val="066C37F1"/>
    <w:rsid w:val="068C5C42"/>
    <w:rsid w:val="06C378E4"/>
    <w:rsid w:val="06CA7A35"/>
    <w:rsid w:val="06D25D4A"/>
    <w:rsid w:val="06D66CAC"/>
    <w:rsid w:val="06DE0DF4"/>
    <w:rsid w:val="06E42038"/>
    <w:rsid w:val="06E44C8E"/>
    <w:rsid w:val="06E709CC"/>
    <w:rsid w:val="06E710CA"/>
    <w:rsid w:val="06EB43E3"/>
    <w:rsid w:val="06EE6896"/>
    <w:rsid w:val="06F36639"/>
    <w:rsid w:val="07027CB2"/>
    <w:rsid w:val="07436725"/>
    <w:rsid w:val="07463EAF"/>
    <w:rsid w:val="074B6FF9"/>
    <w:rsid w:val="0752498A"/>
    <w:rsid w:val="075B4F34"/>
    <w:rsid w:val="07623BCE"/>
    <w:rsid w:val="07695D76"/>
    <w:rsid w:val="077256C2"/>
    <w:rsid w:val="0779142A"/>
    <w:rsid w:val="07851272"/>
    <w:rsid w:val="07852DBD"/>
    <w:rsid w:val="07AD48A6"/>
    <w:rsid w:val="07B05A80"/>
    <w:rsid w:val="07EB76F0"/>
    <w:rsid w:val="07EE5C6F"/>
    <w:rsid w:val="07EF0236"/>
    <w:rsid w:val="07F97307"/>
    <w:rsid w:val="07FC0BA5"/>
    <w:rsid w:val="07FC74DD"/>
    <w:rsid w:val="08221314"/>
    <w:rsid w:val="082A1D8E"/>
    <w:rsid w:val="08332D33"/>
    <w:rsid w:val="08351B25"/>
    <w:rsid w:val="083729D2"/>
    <w:rsid w:val="0844753D"/>
    <w:rsid w:val="084F243F"/>
    <w:rsid w:val="08566507"/>
    <w:rsid w:val="08762585"/>
    <w:rsid w:val="08864031"/>
    <w:rsid w:val="089C2903"/>
    <w:rsid w:val="089F7EAE"/>
    <w:rsid w:val="08A74344"/>
    <w:rsid w:val="08AE53A7"/>
    <w:rsid w:val="08D85730"/>
    <w:rsid w:val="090836D2"/>
    <w:rsid w:val="090B10A0"/>
    <w:rsid w:val="090B3C71"/>
    <w:rsid w:val="090D12BC"/>
    <w:rsid w:val="090D49FF"/>
    <w:rsid w:val="090E0B90"/>
    <w:rsid w:val="096D1D5A"/>
    <w:rsid w:val="096E5800"/>
    <w:rsid w:val="0974616F"/>
    <w:rsid w:val="09AC0579"/>
    <w:rsid w:val="09C83435"/>
    <w:rsid w:val="09D50EE9"/>
    <w:rsid w:val="09EF276F"/>
    <w:rsid w:val="09FC6C3A"/>
    <w:rsid w:val="0A00672A"/>
    <w:rsid w:val="0A093838"/>
    <w:rsid w:val="0A124DE5"/>
    <w:rsid w:val="0A1D4C38"/>
    <w:rsid w:val="0A4829D2"/>
    <w:rsid w:val="0A4F4422"/>
    <w:rsid w:val="0A636449"/>
    <w:rsid w:val="0A642BB8"/>
    <w:rsid w:val="0A7D38C1"/>
    <w:rsid w:val="0A912C8D"/>
    <w:rsid w:val="0A916006"/>
    <w:rsid w:val="0A965E81"/>
    <w:rsid w:val="0A9B6453"/>
    <w:rsid w:val="0AA277E2"/>
    <w:rsid w:val="0ABD34E3"/>
    <w:rsid w:val="0ABE24DC"/>
    <w:rsid w:val="0AC37758"/>
    <w:rsid w:val="0AC53C39"/>
    <w:rsid w:val="0ACA1FCD"/>
    <w:rsid w:val="0AD01E41"/>
    <w:rsid w:val="0AD20D59"/>
    <w:rsid w:val="0AD466C4"/>
    <w:rsid w:val="0AEC4465"/>
    <w:rsid w:val="0AF46A85"/>
    <w:rsid w:val="0B155785"/>
    <w:rsid w:val="0B1E385B"/>
    <w:rsid w:val="0B204BAA"/>
    <w:rsid w:val="0B281E86"/>
    <w:rsid w:val="0B28498B"/>
    <w:rsid w:val="0B2D1F53"/>
    <w:rsid w:val="0B4F794E"/>
    <w:rsid w:val="0B5036E2"/>
    <w:rsid w:val="0B566408"/>
    <w:rsid w:val="0B57076F"/>
    <w:rsid w:val="0B726BE0"/>
    <w:rsid w:val="0B791D50"/>
    <w:rsid w:val="0B7E024F"/>
    <w:rsid w:val="0B950B6A"/>
    <w:rsid w:val="0BA63EF9"/>
    <w:rsid w:val="0BAB2AA6"/>
    <w:rsid w:val="0BBA1B14"/>
    <w:rsid w:val="0BBE76C6"/>
    <w:rsid w:val="0BCF0AAA"/>
    <w:rsid w:val="0BD63881"/>
    <w:rsid w:val="0BE120AE"/>
    <w:rsid w:val="0BE61950"/>
    <w:rsid w:val="0BE85E2E"/>
    <w:rsid w:val="0C126BE9"/>
    <w:rsid w:val="0C3B0E58"/>
    <w:rsid w:val="0C3B1C9C"/>
    <w:rsid w:val="0C455C64"/>
    <w:rsid w:val="0C4F1BEB"/>
    <w:rsid w:val="0C6775BD"/>
    <w:rsid w:val="0C6B1715"/>
    <w:rsid w:val="0C982640"/>
    <w:rsid w:val="0CAB5F71"/>
    <w:rsid w:val="0CC909AE"/>
    <w:rsid w:val="0CD46A4F"/>
    <w:rsid w:val="0CD93CAE"/>
    <w:rsid w:val="0CF14DA5"/>
    <w:rsid w:val="0CFB6499"/>
    <w:rsid w:val="0D0F2DE8"/>
    <w:rsid w:val="0D220501"/>
    <w:rsid w:val="0D265CD9"/>
    <w:rsid w:val="0D2B3A62"/>
    <w:rsid w:val="0D3338F3"/>
    <w:rsid w:val="0D466B4A"/>
    <w:rsid w:val="0D51643B"/>
    <w:rsid w:val="0D522D5B"/>
    <w:rsid w:val="0D59096C"/>
    <w:rsid w:val="0D6B0C4D"/>
    <w:rsid w:val="0D744220"/>
    <w:rsid w:val="0D7A28D7"/>
    <w:rsid w:val="0D7C6A10"/>
    <w:rsid w:val="0D956BAF"/>
    <w:rsid w:val="0D9A0604"/>
    <w:rsid w:val="0DAD6BC9"/>
    <w:rsid w:val="0DAF6AE2"/>
    <w:rsid w:val="0DCE097F"/>
    <w:rsid w:val="0DD416CE"/>
    <w:rsid w:val="0DDC6046"/>
    <w:rsid w:val="0DE441FC"/>
    <w:rsid w:val="0DF55E62"/>
    <w:rsid w:val="0E0013EF"/>
    <w:rsid w:val="0E097B78"/>
    <w:rsid w:val="0E1957CE"/>
    <w:rsid w:val="0E255AF1"/>
    <w:rsid w:val="0E2B7787"/>
    <w:rsid w:val="0E421C9B"/>
    <w:rsid w:val="0E43646C"/>
    <w:rsid w:val="0E511C4E"/>
    <w:rsid w:val="0E51687C"/>
    <w:rsid w:val="0E54479A"/>
    <w:rsid w:val="0E5928AD"/>
    <w:rsid w:val="0E70532E"/>
    <w:rsid w:val="0E8A515C"/>
    <w:rsid w:val="0E931048"/>
    <w:rsid w:val="0EA0672E"/>
    <w:rsid w:val="0EA224A6"/>
    <w:rsid w:val="0EA920CA"/>
    <w:rsid w:val="0EB01870"/>
    <w:rsid w:val="0EB056A9"/>
    <w:rsid w:val="0EB13BD2"/>
    <w:rsid w:val="0EBE5B83"/>
    <w:rsid w:val="0EDB32C2"/>
    <w:rsid w:val="0EE43D0B"/>
    <w:rsid w:val="0EE662C0"/>
    <w:rsid w:val="0EF6331E"/>
    <w:rsid w:val="0F065E9A"/>
    <w:rsid w:val="0F2D4DC9"/>
    <w:rsid w:val="0F2F153E"/>
    <w:rsid w:val="0F536517"/>
    <w:rsid w:val="0F6A2898"/>
    <w:rsid w:val="0F7D6A6F"/>
    <w:rsid w:val="0F8971C2"/>
    <w:rsid w:val="0F917E25"/>
    <w:rsid w:val="0FA7589A"/>
    <w:rsid w:val="0FB14243"/>
    <w:rsid w:val="0FC7003D"/>
    <w:rsid w:val="0FF46D31"/>
    <w:rsid w:val="100920B1"/>
    <w:rsid w:val="101A001B"/>
    <w:rsid w:val="10245A38"/>
    <w:rsid w:val="102C6FE0"/>
    <w:rsid w:val="102D2243"/>
    <w:rsid w:val="10337D94"/>
    <w:rsid w:val="10337F4A"/>
    <w:rsid w:val="103439BC"/>
    <w:rsid w:val="105A3977"/>
    <w:rsid w:val="105C4550"/>
    <w:rsid w:val="108009CF"/>
    <w:rsid w:val="1082242A"/>
    <w:rsid w:val="10861954"/>
    <w:rsid w:val="108D4996"/>
    <w:rsid w:val="109220A6"/>
    <w:rsid w:val="10945E1E"/>
    <w:rsid w:val="10A45967"/>
    <w:rsid w:val="10A63614"/>
    <w:rsid w:val="10AF2C58"/>
    <w:rsid w:val="10CD4A10"/>
    <w:rsid w:val="10F42C93"/>
    <w:rsid w:val="1100503E"/>
    <w:rsid w:val="110C1E59"/>
    <w:rsid w:val="1117134F"/>
    <w:rsid w:val="111C250B"/>
    <w:rsid w:val="11203B56"/>
    <w:rsid w:val="112A0531"/>
    <w:rsid w:val="11317B11"/>
    <w:rsid w:val="1136503A"/>
    <w:rsid w:val="114A472F"/>
    <w:rsid w:val="115F2018"/>
    <w:rsid w:val="11721A14"/>
    <w:rsid w:val="117B6FDE"/>
    <w:rsid w:val="118045F5"/>
    <w:rsid w:val="11842468"/>
    <w:rsid w:val="118610E6"/>
    <w:rsid w:val="11915CF9"/>
    <w:rsid w:val="11934328"/>
    <w:rsid w:val="11960D90"/>
    <w:rsid w:val="11A227BD"/>
    <w:rsid w:val="11A46535"/>
    <w:rsid w:val="11B132E1"/>
    <w:rsid w:val="11B147AE"/>
    <w:rsid w:val="11BD6A0F"/>
    <w:rsid w:val="11C10E95"/>
    <w:rsid w:val="11C12C43"/>
    <w:rsid w:val="11DB0E46"/>
    <w:rsid w:val="11E012F9"/>
    <w:rsid w:val="11E16D70"/>
    <w:rsid w:val="11EF08DC"/>
    <w:rsid w:val="1200777D"/>
    <w:rsid w:val="12093070"/>
    <w:rsid w:val="12152548"/>
    <w:rsid w:val="124B7D5D"/>
    <w:rsid w:val="12543AB7"/>
    <w:rsid w:val="12600816"/>
    <w:rsid w:val="126B0673"/>
    <w:rsid w:val="127777A6"/>
    <w:rsid w:val="12865035"/>
    <w:rsid w:val="12915582"/>
    <w:rsid w:val="12987C7A"/>
    <w:rsid w:val="12AB35D2"/>
    <w:rsid w:val="12CB5BF8"/>
    <w:rsid w:val="12D11E1F"/>
    <w:rsid w:val="12DA67C3"/>
    <w:rsid w:val="12DE3404"/>
    <w:rsid w:val="12E110C3"/>
    <w:rsid w:val="12E15B62"/>
    <w:rsid w:val="12EB3CF0"/>
    <w:rsid w:val="12F40DF6"/>
    <w:rsid w:val="12F47048"/>
    <w:rsid w:val="130938F2"/>
    <w:rsid w:val="1309765D"/>
    <w:rsid w:val="130B0A16"/>
    <w:rsid w:val="130C4392"/>
    <w:rsid w:val="13100FD2"/>
    <w:rsid w:val="13175E9B"/>
    <w:rsid w:val="13254D5D"/>
    <w:rsid w:val="13265E01"/>
    <w:rsid w:val="13275128"/>
    <w:rsid w:val="132757B9"/>
    <w:rsid w:val="132C0590"/>
    <w:rsid w:val="13465AC5"/>
    <w:rsid w:val="134C1D49"/>
    <w:rsid w:val="13512EB0"/>
    <w:rsid w:val="135A0F8F"/>
    <w:rsid w:val="135F12C0"/>
    <w:rsid w:val="13610D8C"/>
    <w:rsid w:val="136B5566"/>
    <w:rsid w:val="13791560"/>
    <w:rsid w:val="1385524F"/>
    <w:rsid w:val="138634A3"/>
    <w:rsid w:val="13913F25"/>
    <w:rsid w:val="13A02D2C"/>
    <w:rsid w:val="13A73D7D"/>
    <w:rsid w:val="13B911D8"/>
    <w:rsid w:val="13E24B09"/>
    <w:rsid w:val="13EC7D20"/>
    <w:rsid w:val="13F24310"/>
    <w:rsid w:val="13F55D15"/>
    <w:rsid w:val="14045069"/>
    <w:rsid w:val="14091685"/>
    <w:rsid w:val="14263231"/>
    <w:rsid w:val="143A0A8B"/>
    <w:rsid w:val="14691370"/>
    <w:rsid w:val="146971C3"/>
    <w:rsid w:val="14804868"/>
    <w:rsid w:val="1488220C"/>
    <w:rsid w:val="14890AF0"/>
    <w:rsid w:val="14936E3F"/>
    <w:rsid w:val="14977C8B"/>
    <w:rsid w:val="149C7998"/>
    <w:rsid w:val="14B00D4D"/>
    <w:rsid w:val="14B62584"/>
    <w:rsid w:val="14B75B09"/>
    <w:rsid w:val="14CD7B51"/>
    <w:rsid w:val="14D57E1B"/>
    <w:rsid w:val="14D64C58"/>
    <w:rsid w:val="150A0E1E"/>
    <w:rsid w:val="15165605"/>
    <w:rsid w:val="15240FC5"/>
    <w:rsid w:val="152A5CD4"/>
    <w:rsid w:val="152B108E"/>
    <w:rsid w:val="15316297"/>
    <w:rsid w:val="15453B8B"/>
    <w:rsid w:val="154716A9"/>
    <w:rsid w:val="154C2F54"/>
    <w:rsid w:val="15565096"/>
    <w:rsid w:val="156A6B50"/>
    <w:rsid w:val="156B6B5D"/>
    <w:rsid w:val="157C1DD1"/>
    <w:rsid w:val="157F3A28"/>
    <w:rsid w:val="15802E15"/>
    <w:rsid w:val="158878F5"/>
    <w:rsid w:val="1594241D"/>
    <w:rsid w:val="15A26A49"/>
    <w:rsid w:val="15A462E6"/>
    <w:rsid w:val="15A703A2"/>
    <w:rsid w:val="15B15B96"/>
    <w:rsid w:val="15C554E5"/>
    <w:rsid w:val="15C70A44"/>
    <w:rsid w:val="15CA22E2"/>
    <w:rsid w:val="15D60D6B"/>
    <w:rsid w:val="15F531CD"/>
    <w:rsid w:val="15FA1129"/>
    <w:rsid w:val="160D72A0"/>
    <w:rsid w:val="161A34C0"/>
    <w:rsid w:val="162D76B5"/>
    <w:rsid w:val="163E2DAF"/>
    <w:rsid w:val="165B2965"/>
    <w:rsid w:val="16632FD9"/>
    <w:rsid w:val="16677B31"/>
    <w:rsid w:val="166B14E8"/>
    <w:rsid w:val="166C729B"/>
    <w:rsid w:val="167A0BCC"/>
    <w:rsid w:val="16930926"/>
    <w:rsid w:val="16996BAC"/>
    <w:rsid w:val="16A556A4"/>
    <w:rsid w:val="16A80D4A"/>
    <w:rsid w:val="16D276A1"/>
    <w:rsid w:val="16E26B19"/>
    <w:rsid w:val="16F45869"/>
    <w:rsid w:val="16FD4BCC"/>
    <w:rsid w:val="17066E7C"/>
    <w:rsid w:val="170863E4"/>
    <w:rsid w:val="17176A4A"/>
    <w:rsid w:val="1717771E"/>
    <w:rsid w:val="17481EBC"/>
    <w:rsid w:val="174C7453"/>
    <w:rsid w:val="176B0033"/>
    <w:rsid w:val="177E05E0"/>
    <w:rsid w:val="178E244B"/>
    <w:rsid w:val="17CF1E32"/>
    <w:rsid w:val="17D05195"/>
    <w:rsid w:val="17D31FEB"/>
    <w:rsid w:val="17D47448"/>
    <w:rsid w:val="17E13139"/>
    <w:rsid w:val="17E5069C"/>
    <w:rsid w:val="17E56D2F"/>
    <w:rsid w:val="17FA6D36"/>
    <w:rsid w:val="18070E65"/>
    <w:rsid w:val="180C0000"/>
    <w:rsid w:val="181C5CC7"/>
    <w:rsid w:val="1856498E"/>
    <w:rsid w:val="18575E55"/>
    <w:rsid w:val="185B5474"/>
    <w:rsid w:val="18697B91"/>
    <w:rsid w:val="1881321C"/>
    <w:rsid w:val="188B25EE"/>
    <w:rsid w:val="188E53DE"/>
    <w:rsid w:val="18B72869"/>
    <w:rsid w:val="18BC23B6"/>
    <w:rsid w:val="18CB2DDD"/>
    <w:rsid w:val="18E65685"/>
    <w:rsid w:val="18EF28DE"/>
    <w:rsid w:val="18F002B2"/>
    <w:rsid w:val="18F077E6"/>
    <w:rsid w:val="18F12358"/>
    <w:rsid w:val="18F71640"/>
    <w:rsid w:val="18FD40C7"/>
    <w:rsid w:val="18FF7929"/>
    <w:rsid w:val="19013A49"/>
    <w:rsid w:val="19287A4C"/>
    <w:rsid w:val="193C34F7"/>
    <w:rsid w:val="19461C80"/>
    <w:rsid w:val="19505B41"/>
    <w:rsid w:val="196F11D7"/>
    <w:rsid w:val="197E2869"/>
    <w:rsid w:val="198B05F8"/>
    <w:rsid w:val="19BE215E"/>
    <w:rsid w:val="19C46485"/>
    <w:rsid w:val="19CA0DB3"/>
    <w:rsid w:val="19DE262B"/>
    <w:rsid w:val="19E21CD6"/>
    <w:rsid w:val="19E74BB9"/>
    <w:rsid w:val="19E81E83"/>
    <w:rsid w:val="19ED4248"/>
    <w:rsid w:val="19F516DE"/>
    <w:rsid w:val="1A081BBA"/>
    <w:rsid w:val="1A13713E"/>
    <w:rsid w:val="1A1637BE"/>
    <w:rsid w:val="1A3A65A6"/>
    <w:rsid w:val="1A6474A5"/>
    <w:rsid w:val="1A7018FA"/>
    <w:rsid w:val="1A761F6C"/>
    <w:rsid w:val="1A78699F"/>
    <w:rsid w:val="1A7E53A4"/>
    <w:rsid w:val="1A8B64E4"/>
    <w:rsid w:val="1A911621"/>
    <w:rsid w:val="1A937147"/>
    <w:rsid w:val="1A9C05A9"/>
    <w:rsid w:val="1A9C249F"/>
    <w:rsid w:val="1A9D4826"/>
    <w:rsid w:val="1AA97EC9"/>
    <w:rsid w:val="1AD734D7"/>
    <w:rsid w:val="1B01787D"/>
    <w:rsid w:val="1B0B3A8B"/>
    <w:rsid w:val="1B1A48E5"/>
    <w:rsid w:val="1B27238F"/>
    <w:rsid w:val="1B32070E"/>
    <w:rsid w:val="1B3426D8"/>
    <w:rsid w:val="1B3E70B3"/>
    <w:rsid w:val="1B4560C7"/>
    <w:rsid w:val="1B530684"/>
    <w:rsid w:val="1B551CA6"/>
    <w:rsid w:val="1B74681D"/>
    <w:rsid w:val="1B7E157E"/>
    <w:rsid w:val="1B826ED4"/>
    <w:rsid w:val="1B9D5E78"/>
    <w:rsid w:val="1BB2184F"/>
    <w:rsid w:val="1BB92997"/>
    <w:rsid w:val="1BBD2556"/>
    <w:rsid w:val="1BBF62B8"/>
    <w:rsid w:val="1BDA4082"/>
    <w:rsid w:val="1BDE0896"/>
    <w:rsid w:val="1BE02F64"/>
    <w:rsid w:val="1BF0233B"/>
    <w:rsid w:val="1BF54794"/>
    <w:rsid w:val="1BFD0D1C"/>
    <w:rsid w:val="1BFE4B6A"/>
    <w:rsid w:val="1C086230"/>
    <w:rsid w:val="1C111F7C"/>
    <w:rsid w:val="1C183DA8"/>
    <w:rsid w:val="1C2269D4"/>
    <w:rsid w:val="1C227B05"/>
    <w:rsid w:val="1C26403E"/>
    <w:rsid w:val="1C373A7F"/>
    <w:rsid w:val="1C3D35F7"/>
    <w:rsid w:val="1C4C7F07"/>
    <w:rsid w:val="1C6963B1"/>
    <w:rsid w:val="1C7D2B33"/>
    <w:rsid w:val="1C7D5BD7"/>
    <w:rsid w:val="1C8670F0"/>
    <w:rsid w:val="1C9B22E3"/>
    <w:rsid w:val="1C9F6BC8"/>
    <w:rsid w:val="1CB0456C"/>
    <w:rsid w:val="1CD42FF3"/>
    <w:rsid w:val="1CDA4369"/>
    <w:rsid w:val="1CDD65C3"/>
    <w:rsid w:val="1CED6FE2"/>
    <w:rsid w:val="1CF50855"/>
    <w:rsid w:val="1D1125A5"/>
    <w:rsid w:val="1D17337D"/>
    <w:rsid w:val="1D174B52"/>
    <w:rsid w:val="1D1774DE"/>
    <w:rsid w:val="1D295B40"/>
    <w:rsid w:val="1D4E2A8B"/>
    <w:rsid w:val="1D576BC4"/>
    <w:rsid w:val="1D8A226D"/>
    <w:rsid w:val="1D8C6B71"/>
    <w:rsid w:val="1D917833"/>
    <w:rsid w:val="1DAA797A"/>
    <w:rsid w:val="1DC0202A"/>
    <w:rsid w:val="1DDB1AFF"/>
    <w:rsid w:val="1DDC0E05"/>
    <w:rsid w:val="1DDC5DF3"/>
    <w:rsid w:val="1DE5480D"/>
    <w:rsid w:val="1DEA4459"/>
    <w:rsid w:val="1DF1161E"/>
    <w:rsid w:val="1DF511E7"/>
    <w:rsid w:val="1E025CEA"/>
    <w:rsid w:val="1E026ABD"/>
    <w:rsid w:val="1E1008E9"/>
    <w:rsid w:val="1E120030"/>
    <w:rsid w:val="1E1E3FC0"/>
    <w:rsid w:val="1E2E3DA3"/>
    <w:rsid w:val="1E441C94"/>
    <w:rsid w:val="1E5D4DF6"/>
    <w:rsid w:val="1E5F78E8"/>
    <w:rsid w:val="1E685E7A"/>
    <w:rsid w:val="1E7F604A"/>
    <w:rsid w:val="1E937C5C"/>
    <w:rsid w:val="1EA94353"/>
    <w:rsid w:val="1EAF7726"/>
    <w:rsid w:val="1EB121ED"/>
    <w:rsid w:val="1EBD334F"/>
    <w:rsid w:val="1ED83506"/>
    <w:rsid w:val="1EEB45AB"/>
    <w:rsid w:val="1EEF43E6"/>
    <w:rsid w:val="1F1423F4"/>
    <w:rsid w:val="1F1A49B0"/>
    <w:rsid w:val="1F2969D2"/>
    <w:rsid w:val="1F4B6242"/>
    <w:rsid w:val="1F5D63A8"/>
    <w:rsid w:val="1F7A6147"/>
    <w:rsid w:val="1F7B77C4"/>
    <w:rsid w:val="1F8B44C4"/>
    <w:rsid w:val="1F9C0B6F"/>
    <w:rsid w:val="1F9F64B7"/>
    <w:rsid w:val="1FC65EBA"/>
    <w:rsid w:val="1FD04F7C"/>
    <w:rsid w:val="1FD33E85"/>
    <w:rsid w:val="1FD35C57"/>
    <w:rsid w:val="200E34D5"/>
    <w:rsid w:val="20137E4B"/>
    <w:rsid w:val="20237B59"/>
    <w:rsid w:val="20255E49"/>
    <w:rsid w:val="20276ED0"/>
    <w:rsid w:val="202C3EC3"/>
    <w:rsid w:val="202F2A22"/>
    <w:rsid w:val="203C5219"/>
    <w:rsid w:val="203E1872"/>
    <w:rsid w:val="203E223B"/>
    <w:rsid w:val="203F1A77"/>
    <w:rsid w:val="20476A09"/>
    <w:rsid w:val="205F0ADF"/>
    <w:rsid w:val="20640DC2"/>
    <w:rsid w:val="20713BE1"/>
    <w:rsid w:val="20823EE5"/>
    <w:rsid w:val="208A4B27"/>
    <w:rsid w:val="208D63E6"/>
    <w:rsid w:val="20907E85"/>
    <w:rsid w:val="20931C4F"/>
    <w:rsid w:val="209F357C"/>
    <w:rsid w:val="20A51982"/>
    <w:rsid w:val="20B61560"/>
    <w:rsid w:val="20BC526B"/>
    <w:rsid w:val="20CB0A25"/>
    <w:rsid w:val="20D37800"/>
    <w:rsid w:val="2111148A"/>
    <w:rsid w:val="21182154"/>
    <w:rsid w:val="212F04C6"/>
    <w:rsid w:val="213935BC"/>
    <w:rsid w:val="213B5E42"/>
    <w:rsid w:val="213D3B41"/>
    <w:rsid w:val="214969DA"/>
    <w:rsid w:val="214D605B"/>
    <w:rsid w:val="215756AB"/>
    <w:rsid w:val="215B292E"/>
    <w:rsid w:val="21645246"/>
    <w:rsid w:val="218C5C40"/>
    <w:rsid w:val="219750A0"/>
    <w:rsid w:val="2198015A"/>
    <w:rsid w:val="219A525F"/>
    <w:rsid w:val="219E5298"/>
    <w:rsid w:val="219F2DA0"/>
    <w:rsid w:val="21C3004C"/>
    <w:rsid w:val="21F05E39"/>
    <w:rsid w:val="21F864D4"/>
    <w:rsid w:val="22011C33"/>
    <w:rsid w:val="220F17A9"/>
    <w:rsid w:val="22117141"/>
    <w:rsid w:val="221D03FF"/>
    <w:rsid w:val="2250591D"/>
    <w:rsid w:val="228446DD"/>
    <w:rsid w:val="228F28EA"/>
    <w:rsid w:val="22A25CBE"/>
    <w:rsid w:val="22A32280"/>
    <w:rsid w:val="22A805E7"/>
    <w:rsid w:val="22AA6DC7"/>
    <w:rsid w:val="22B61C24"/>
    <w:rsid w:val="22EC1AEA"/>
    <w:rsid w:val="22F2317D"/>
    <w:rsid w:val="22FC3C03"/>
    <w:rsid w:val="22FE6AAF"/>
    <w:rsid w:val="230706D2"/>
    <w:rsid w:val="23217025"/>
    <w:rsid w:val="23224E47"/>
    <w:rsid w:val="2338180F"/>
    <w:rsid w:val="23383174"/>
    <w:rsid w:val="233B65CE"/>
    <w:rsid w:val="233D40F4"/>
    <w:rsid w:val="234A05BF"/>
    <w:rsid w:val="234A6CC6"/>
    <w:rsid w:val="2356050A"/>
    <w:rsid w:val="236267F1"/>
    <w:rsid w:val="236F1E98"/>
    <w:rsid w:val="237043DD"/>
    <w:rsid w:val="2370495F"/>
    <w:rsid w:val="23724023"/>
    <w:rsid w:val="2376485C"/>
    <w:rsid w:val="23776350"/>
    <w:rsid w:val="23835EC9"/>
    <w:rsid w:val="23943E37"/>
    <w:rsid w:val="23AC1FC4"/>
    <w:rsid w:val="23B039C5"/>
    <w:rsid w:val="23B5012E"/>
    <w:rsid w:val="23B756A7"/>
    <w:rsid w:val="23B779A9"/>
    <w:rsid w:val="23C92342"/>
    <w:rsid w:val="23C97F02"/>
    <w:rsid w:val="23CA383A"/>
    <w:rsid w:val="23D173DF"/>
    <w:rsid w:val="23D67228"/>
    <w:rsid w:val="23E54010"/>
    <w:rsid w:val="23F05CD5"/>
    <w:rsid w:val="23F3391D"/>
    <w:rsid w:val="23F72D64"/>
    <w:rsid w:val="240370EB"/>
    <w:rsid w:val="24047EF8"/>
    <w:rsid w:val="240D2DAB"/>
    <w:rsid w:val="241A7A40"/>
    <w:rsid w:val="241E10F0"/>
    <w:rsid w:val="2438042A"/>
    <w:rsid w:val="243E522C"/>
    <w:rsid w:val="24443260"/>
    <w:rsid w:val="244C7508"/>
    <w:rsid w:val="245711E5"/>
    <w:rsid w:val="247E6D24"/>
    <w:rsid w:val="249909DF"/>
    <w:rsid w:val="249E4293"/>
    <w:rsid w:val="24B2050F"/>
    <w:rsid w:val="24B403E6"/>
    <w:rsid w:val="24B4136C"/>
    <w:rsid w:val="24E027DF"/>
    <w:rsid w:val="24E567F1"/>
    <w:rsid w:val="24E84F70"/>
    <w:rsid w:val="24F4616C"/>
    <w:rsid w:val="24F96DCB"/>
    <w:rsid w:val="24FC4A25"/>
    <w:rsid w:val="25076767"/>
    <w:rsid w:val="250B5B1F"/>
    <w:rsid w:val="250D0578"/>
    <w:rsid w:val="250E3ADC"/>
    <w:rsid w:val="251175E6"/>
    <w:rsid w:val="25181406"/>
    <w:rsid w:val="251F7F55"/>
    <w:rsid w:val="252472BA"/>
    <w:rsid w:val="25276E09"/>
    <w:rsid w:val="252C6D4B"/>
    <w:rsid w:val="253A7A27"/>
    <w:rsid w:val="254370F3"/>
    <w:rsid w:val="254A4E96"/>
    <w:rsid w:val="25626093"/>
    <w:rsid w:val="25683A99"/>
    <w:rsid w:val="25710BAA"/>
    <w:rsid w:val="257D4C7B"/>
    <w:rsid w:val="2589388C"/>
    <w:rsid w:val="258F65EE"/>
    <w:rsid w:val="259468E3"/>
    <w:rsid w:val="25A36DFE"/>
    <w:rsid w:val="25C0009A"/>
    <w:rsid w:val="25C85F79"/>
    <w:rsid w:val="25CB68C9"/>
    <w:rsid w:val="25CD79B1"/>
    <w:rsid w:val="25D23219"/>
    <w:rsid w:val="25DE1C95"/>
    <w:rsid w:val="25E02933"/>
    <w:rsid w:val="25EB6A57"/>
    <w:rsid w:val="25EC7F35"/>
    <w:rsid w:val="25F3098D"/>
    <w:rsid w:val="25FD610F"/>
    <w:rsid w:val="260333D3"/>
    <w:rsid w:val="260B3808"/>
    <w:rsid w:val="26213859"/>
    <w:rsid w:val="262460D6"/>
    <w:rsid w:val="26281B5C"/>
    <w:rsid w:val="263537A8"/>
    <w:rsid w:val="263F28F7"/>
    <w:rsid w:val="265E1035"/>
    <w:rsid w:val="26736994"/>
    <w:rsid w:val="267851B0"/>
    <w:rsid w:val="267B673B"/>
    <w:rsid w:val="268D3954"/>
    <w:rsid w:val="268D7140"/>
    <w:rsid w:val="269D1C0B"/>
    <w:rsid w:val="26B65BB3"/>
    <w:rsid w:val="26CC27EB"/>
    <w:rsid w:val="26E256DE"/>
    <w:rsid w:val="26F21DD1"/>
    <w:rsid w:val="26F40F6D"/>
    <w:rsid w:val="26F74184"/>
    <w:rsid w:val="26F9344A"/>
    <w:rsid w:val="26FE02B9"/>
    <w:rsid w:val="27185334"/>
    <w:rsid w:val="27251B60"/>
    <w:rsid w:val="27315D1D"/>
    <w:rsid w:val="273616A0"/>
    <w:rsid w:val="27400656"/>
    <w:rsid w:val="2747008E"/>
    <w:rsid w:val="275519C5"/>
    <w:rsid w:val="2765393D"/>
    <w:rsid w:val="277420AE"/>
    <w:rsid w:val="2775422E"/>
    <w:rsid w:val="27811AAF"/>
    <w:rsid w:val="2799717E"/>
    <w:rsid w:val="27A73680"/>
    <w:rsid w:val="27D4566D"/>
    <w:rsid w:val="27D54B8E"/>
    <w:rsid w:val="27DC71FB"/>
    <w:rsid w:val="27DF1C1D"/>
    <w:rsid w:val="27E17743"/>
    <w:rsid w:val="27E2526A"/>
    <w:rsid w:val="27E30087"/>
    <w:rsid w:val="27E72424"/>
    <w:rsid w:val="27E80EDC"/>
    <w:rsid w:val="27FB60F5"/>
    <w:rsid w:val="280A3788"/>
    <w:rsid w:val="2819424A"/>
    <w:rsid w:val="28236D05"/>
    <w:rsid w:val="28277120"/>
    <w:rsid w:val="283245DA"/>
    <w:rsid w:val="283F26BC"/>
    <w:rsid w:val="283F7C7E"/>
    <w:rsid w:val="28553D30"/>
    <w:rsid w:val="285A02B1"/>
    <w:rsid w:val="285C4518"/>
    <w:rsid w:val="28785414"/>
    <w:rsid w:val="28901C3E"/>
    <w:rsid w:val="28A572F2"/>
    <w:rsid w:val="29087166"/>
    <w:rsid w:val="29106BF0"/>
    <w:rsid w:val="29177195"/>
    <w:rsid w:val="292D7CFB"/>
    <w:rsid w:val="294A57BC"/>
    <w:rsid w:val="2953641F"/>
    <w:rsid w:val="29663D29"/>
    <w:rsid w:val="2976013B"/>
    <w:rsid w:val="29773987"/>
    <w:rsid w:val="297D752F"/>
    <w:rsid w:val="29846266"/>
    <w:rsid w:val="29982084"/>
    <w:rsid w:val="299B35BA"/>
    <w:rsid w:val="299F1ED8"/>
    <w:rsid w:val="29B37DE4"/>
    <w:rsid w:val="29BA649E"/>
    <w:rsid w:val="29BC2519"/>
    <w:rsid w:val="29D327AD"/>
    <w:rsid w:val="29D64BD6"/>
    <w:rsid w:val="2A043BBD"/>
    <w:rsid w:val="2A1536D4"/>
    <w:rsid w:val="2A181FDA"/>
    <w:rsid w:val="2A241B69"/>
    <w:rsid w:val="2A303B74"/>
    <w:rsid w:val="2A3A70B5"/>
    <w:rsid w:val="2A3C355C"/>
    <w:rsid w:val="2A465F84"/>
    <w:rsid w:val="2A5C3817"/>
    <w:rsid w:val="2A5F646C"/>
    <w:rsid w:val="2A691DE3"/>
    <w:rsid w:val="2A6D3510"/>
    <w:rsid w:val="2A717F51"/>
    <w:rsid w:val="2A7523C5"/>
    <w:rsid w:val="2A7725E1"/>
    <w:rsid w:val="2A7C3754"/>
    <w:rsid w:val="2A7D5EEA"/>
    <w:rsid w:val="2A7E2FB9"/>
    <w:rsid w:val="2AA17151"/>
    <w:rsid w:val="2AAD195F"/>
    <w:rsid w:val="2AB033FD"/>
    <w:rsid w:val="2AC665F2"/>
    <w:rsid w:val="2AD74E2E"/>
    <w:rsid w:val="2ADE61BC"/>
    <w:rsid w:val="2AE53AEE"/>
    <w:rsid w:val="2AEB52C0"/>
    <w:rsid w:val="2B0D4CF3"/>
    <w:rsid w:val="2B165956"/>
    <w:rsid w:val="2B2D7144"/>
    <w:rsid w:val="2B364DE1"/>
    <w:rsid w:val="2B3D321C"/>
    <w:rsid w:val="2B3E3027"/>
    <w:rsid w:val="2B4E5D85"/>
    <w:rsid w:val="2B690D42"/>
    <w:rsid w:val="2B7B2435"/>
    <w:rsid w:val="2B7D59D5"/>
    <w:rsid w:val="2B7F6556"/>
    <w:rsid w:val="2B881891"/>
    <w:rsid w:val="2B8A4BD7"/>
    <w:rsid w:val="2B8F504C"/>
    <w:rsid w:val="2B913769"/>
    <w:rsid w:val="2B9E5D5D"/>
    <w:rsid w:val="2BE365B3"/>
    <w:rsid w:val="2BFB20ED"/>
    <w:rsid w:val="2C2158F9"/>
    <w:rsid w:val="2C2A41C4"/>
    <w:rsid w:val="2C3108E9"/>
    <w:rsid w:val="2C3F0A33"/>
    <w:rsid w:val="2C571B13"/>
    <w:rsid w:val="2C5C7914"/>
    <w:rsid w:val="2C6E124B"/>
    <w:rsid w:val="2C707634"/>
    <w:rsid w:val="2C745D17"/>
    <w:rsid w:val="2C982428"/>
    <w:rsid w:val="2CA06D5E"/>
    <w:rsid w:val="2CA24C04"/>
    <w:rsid w:val="2CA86E96"/>
    <w:rsid w:val="2CAB3FD4"/>
    <w:rsid w:val="2CAE6E51"/>
    <w:rsid w:val="2CB10846"/>
    <w:rsid w:val="2CB3259E"/>
    <w:rsid w:val="2CBD58EB"/>
    <w:rsid w:val="2CC2739D"/>
    <w:rsid w:val="2CC633AC"/>
    <w:rsid w:val="2CC92A9D"/>
    <w:rsid w:val="2CCC0903"/>
    <w:rsid w:val="2CD51B1F"/>
    <w:rsid w:val="2CEC74F1"/>
    <w:rsid w:val="2CF021A0"/>
    <w:rsid w:val="2CF720A8"/>
    <w:rsid w:val="2D07343E"/>
    <w:rsid w:val="2D0A1C4E"/>
    <w:rsid w:val="2D0F5E1B"/>
    <w:rsid w:val="2D1063D5"/>
    <w:rsid w:val="2D144117"/>
    <w:rsid w:val="2D1635C1"/>
    <w:rsid w:val="2D200D0E"/>
    <w:rsid w:val="2D4575B8"/>
    <w:rsid w:val="2D983721"/>
    <w:rsid w:val="2DA2212F"/>
    <w:rsid w:val="2DAD00C8"/>
    <w:rsid w:val="2DB120AF"/>
    <w:rsid w:val="2DC3790F"/>
    <w:rsid w:val="2DCD6ECE"/>
    <w:rsid w:val="2DCE3B02"/>
    <w:rsid w:val="2DCE51F6"/>
    <w:rsid w:val="2DD65871"/>
    <w:rsid w:val="2DDB2E87"/>
    <w:rsid w:val="2DE0269F"/>
    <w:rsid w:val="2DE47F8D"/>
    <w:rsid w:val="2DEE09C8"/>
    <w:rsid w:val="2DFC2E2F"/>
    <w:rsid w:val="2E086531"/>
    <w:rsid w:val="2E0A5282"/>
    <w:rsid w:val="2E1115FA"/>
    <w:rsid w:val="2E233BD3"/>
    <w:rsid w:val="2E313C4C"/>
    <w:rsid w:val="2E3D0962"/>
    <w:rsid w:val="2E445734"/>
    <w:rsid w:val="2E5A1FFE"/>
    <w:rsid w:val="2E5A78E0"/>
    <w:rsid w:val="2E6A35EA"/>
    <w:rsid w:val="2E7110F5"/>
    <w:rsid w:val="2E7B3A08"/>
    <w:rsid w:val="2E903C71"/>
    <w:rsid w:val="2E935F8A"/>
    <w:rsid w:val="2EB23BE8"/>
    <w:rsid w:val="2EC11CE1"/>
    <w:rsid w:val="2EF87760"/>
    <w:rsid w:val="2EFC22EA"/>
    <w:rsid w:val="2EFF6701"/>
    <w:rsid w:val="2F0B2AA3"/>
    <w:rsid w:val="2F0D7853"/>
    <w:rsid w:val="2F2270BF"/>
    <w:rsid w:val="2F3B6E03"/>
    <w:rsid w:val="2F4E45F4"/>
    <w:rsid w:val="2F53284E"/>
    <w:rsid w:val="2F544C9F"/>
    <w:rsid w:val="2F6C023B"/>
    <w:rsid w:val="2F893398"/>
    <w:rsid w:val="2F9B28CE"/>
    <w:rsid w:val="2FA33530"/>
    <w:rsid w:val="2FAE3B6F"/>
    <w:rsid w:val="2FB206AA"/>
    <w:rsid w:val="2FCF2577"/>
    <w:rsid w:val="2FD61DD4"/>
    <w:rsid w:val="2FDA506D"/>
    <w:rsid w:val="2FDB5344"/>
    <w:rsid w:val="2FE72B33"/>
    <w:rsid w:val="2FF5325B"/>
    <w:rsid w:val="2FF73B57"/>
    <w:rsid w:val="2FFB05AD"/>
    <w:rsid w:val="30083B7F"/>
    <w:rsid w:val="300A7A53"/>
    <w:rsid w:val="300C411D"/>
    <w:rsid w:val="300F0BC6"/>
    <w:rsid w:val="302E32F6"/>
    <w:rsid w:val="304A5208"/>
    <w:rsid w:val="304D24C0"/>
    <w:rsid w:val="30562BEB"/>
    <w:rsid w:val="305C4C6D"/>
    <w:rsid w:val="305D7B83"/>
    <w:rsid w:val="306427D2"/>
    <w:rsid w:val="306951DF"/>
    <w:rsid w:val="306D6A06"/>
    <w:rsid w:val="30700674"/>
    <w:rsid w:val="30712F66"/>
    <w:rsid w:val="30734F38"/>
    <w:rsid w:val="308E06F4"/>
    <w:rsid w:val="30975DB0"/>
    <w:rsid w:val="30A54B43"/>
    <w:rsid w:val="30B21A5F"/>
    <w:rsid w:val="30B230E1"/>
    <w:rsid w:val="30BC54E0"/>
    <w:rsid w:val="30BE1897"/>
    <w:rsid w:val="30DB33E2"/>
    <w:rsid w:val="30ED38D9"/>
    <w:rsid w:val="30F527DB"/>
    <w:rsid w:val="30FA18C8"/>
    <w:rsid w:val="311717E1"/>
    <w:rsid w:val="31180ED9"/>
    <w:rsid w:val="311E43F9"/>
    <w:rsid w:val="314F6C5E"/>
    <w:rsid w:val="316250E0"/>
    <w:rsid w:val="31662C42"/>
    <w:rsid w:val="31713F6A"/>
    <w:rsid w:val="3197486B"/>
    <w:rsid w:val="319E6FC9"/>
    <w:rsid w:val="31AA739D"/>
    <w:rsid w:val="31B95BB6"/>
    <w:rsid w:val="31D50CAC"/>
    <w:rsid w:val="31D75DC9"/>
    <w:rsid w:val="31E26B4C"/>
    <w:rsid w:val="31E97321"/>
    <w:rsid w:val="31F1263A"/>
    <w:rsid w:val="31F938DC"/>
    <w:rsid w:val="320A7F99"/>
    <w:rsid w:val="32193F7E"/>
    <w:rsid w:val="326D1154"/>
    <w:rsid w:val="32845FC6"/>
    <w:rsid w:val="328C1693"/>
    <w:rsid w:val="329B0E37"/>
    <w:rsid w:val="32A56BAC"/>
    <w:rsid w:val="32AA59A3"/>
    <w:rsid w:val="32AE0B6A"/>
    <w:rsid w:val="32AE2918"/>
    <w:rsid w:val="32D00AA1"/>
    <w:rsid w:val="32D305D1"/>
    <w:rsid w:val="32D82AE9"/>
    <w:rsid w:val="32DB282A"/>
    <w:rsid w:val="32E36B8E"/>
    <w:rsid w:val="32FC0C7A"/>
    <w:rsid w:val="32FD11AA"/>
    <w:rsid w:val="32FF7F0C"/>
    <w:rsid w:val="333C0154"/>
    <w:rsid w:val="33452C19"/>
    <w:rsid w:val="3349302D"/>
    <w:rsid w:val="3350577D"/>
    <w:rsid w:val="33727FAB"/>
    <w:rsid w:val="33853F2D"/>
    <w:rsid w:val="33943C78"/>
    <w:rsid w:val="339E58C2"/>
    <w:rsid w:val="33AA6F7A"/>
    <w:rsid w:val="33AB6E58"/>
    <w:rsid w:val="33E10DD3"/>
    <w:rsid w:val="33FD69FC"/>
    <w:rsid w:val="33FE167D"/>
    <w:rsid w:val="340337D1"/>
    <w:rsid w:val="340745B5"/>
    <w:rsid w:val="341E587B"/>
    <w:rsid w:val="341F2F37"/>
    <w:rsid w:val="34311274"/>
    <w:rsid w:val="343B04E2"/>
    <w:rsid w:val="344B4EBD"/>
    <w:rsid w:val="344D4B4D"/>
    <w:rsid w:val="34670FD0"/>
    <w:rsid w:val="346E3117"/>
    <w:rsid w:val="346F2429"/>
    <w:rsid w:val="34806104"/>
    <w:rsid w:val="348C429C"/>
    <w:rsid w:val="349203B0"/>
    <w:rsid w:val="34A66EB5"/>
    <w:rsid w:val="34B1460A"/>
    <w:rsid w:val="34C401D1"/>
    <w:rsid w:val="34DF500B"/>
    <w:rsid w:val="34E70363"/>
    <w:rsid w:val="34F04D4B"/>
    <w:rsid w:val="34F077D7"/>
    <w:rsid w:val="34F10E77"/>
    <w:rsid w:val="34F754BB"/>
    <w:rsid w:val="34FC6597"/>
    <w:rsid w:val="35026F4B"/>
    <w:rsid w:val="350607E9"/>
    <w:rsid w:val="35076310"/>
    <w:rsid w:val="350E1F3B"/>
    <w:rsid w:val="351444A4"/>
    <w:rsid w:val="3518676F"/>
    <w:rsid w:val="351C7995"/>
    <w:rsid w:val="35213875"/>
    <w:rsid w:val="352219FA"/>
    <w:rsid w:val="35373099"/>
    <w:rsid w:val="35487054"/>
    <w:rsid w:val="354F2998"/>
    <w:rsid w:val="35542B1C"/>
    <w:rsid w:val="355C503A"/>
    <w:rsid w:val="355D548F"/>
    <w:rsid w:val="35712F5C"/>
    <w:rsid w:val="357D65D2"/>
    <w:rsid w:val="357E2ADA"/>
    <w:rsid w:val="35857D50"/>
    <w:rsid w:val="35893A8D"/>
    <w:rsid w:val="358D4A67"/>
    <w:rsid w:val="359758E5"/>
    <w:rsid w:val="35A76D4A"/>
    <w:rsid w:val="35BB0350"/>
    <w:rsid w:val="35CF59D1"/>
    <w:rsid w:val="35DD5D1E"/>
    <w:rsid w:val="35E548A3"/>
    <w:rsid w:val="35EA1588"/>
    <w:rsid w:val="35EB52FA"/>
    <w:rsid w:val="35ED3757"/>
    <w:rsid w:val="35FF348B"/>
    <w:rsid w:val="36037910"/>
    <w:rsid w:val="36056CF3"/>
    <w:rsid w:val="361053FD"/>
    <w:rsid w:val="363870C8"/>
    <w:rsid w:val="36430012"/>
    <w:rsid w:val="3643781B"/>
    <w:rsid w:val="364E66E2"/>
    <w:rsid w:val="36545584"/>
    <w:rsid w:val="3674681F"/>
    <w:rsid w:val="367D2D2D"/>
    <w:rsid w:val="368C644B"/>
    <w:rsid w:val="369A162C"/>
    <w:rsid w:val="36A03F49"/>
    <w:rsid w:val="36A209E6"/>
    <w:rsid w:val="36A858D0"/>
    <w:rsid w:val="36C0343E"/>
    <w:rsid w:val="36CA1CEB"/>
    <w:rsid w:val="36CB6E86"/>
    <w:rsid w:val="36DF4725"/>
    <w:rsid w:val="36E56B26"/>
    <w:rsid w:val="36EB0280"/>
    <w:rsid w:val="36F147F7"/>
    <w:rsid w:val="37031BA7"/>
    <w:rsid w:val="37147D8B"/>
    <w:rsid w:val="37165FB9"/>
    <w:rsid w:val="37182A56"/>
    <w:rsid w:val="372E36CC"/>
    <w:rsid w:val="373F6235"/>
    <w:rsid w:val="3751612E"/>
    <w:rsid w:val="37602844"/>
    <w:rsid w:val="37661DE9"/>
    <w:rsid w:val="376D2DA2"/>
    <w:rsid w:val="37867399"/>
    <w:rsid w:val="378B0363"/>
    <w:rsid w:val="379E73FF"/>
    <w:rsid w:val="37A32DEB"/>
    <w:rsid w:val="37A500EF"/>
    <w:rsid w:val="37AB1B1C"/>
    <w:rsid w:val="37B0135A"/>
    <w:rsid w:val="37B27460"/>
    <w:rsid w:val="37B955E9"/>
    <w:rsid w:val="37D02ABE"/>
    <w:rsid w:val="37D779B8"/>
    <w:rsid w:val="37DE574C"/>
    <w:rsid w:val="37E66B9A"/>
    <w:rsid w:val="37E82612"/>
    <w:rsid w:val="37F150EB"/>
    <w:rsid w:val="37F805D1"/>
    <w:rsid w:val="38001B60"/>
    <w:rsid w:val="380573AA"/>
    <w:rsid w:val="380A6843"/>
    <w:rsid w:val="383E568D"/>
    <w:rsid w:val="385F0FA8"/>
    <w:rsid w:val="38623C7F"/>
    <w:rsid w:val="386341A5"/>
    <w:rsid w:val="38653A10"/>
    <w:rsid w:val="38654F98"/>
    <w:rsid w:val="38716825"/>
    <w:rsid w:val="388751C2"/>
    <w:rsid w:val="388F4F35"/>
    <w:rsid w:val="388F58F6"/>
    <w:rsid w:val="3890687D"/>
    <w:rsid w:val="389B393F"/>
    <w:rsid w:val="38A83CD5"/>
    <w:rsid w:val="38AC0826"/>
    <w:rsid w:val="38AE4D23"/>
    <w:rsid w:val="38B96F77"/>
    <w:rsid w:val="38BF56A5"/>
    <w:rsid w:val="38C93BBF"/>
    <w:rsid w:val="390426D7"/>
    <w:rsid w:val="39126635"/>
    <w:rsid w:val="3914549F"/>
    <w:rsid w:val="391E7A50"/>
    <w:rsid w:val="39222A69"/>
    <w:rsid w:val="392A58F3"/>
    <w:rsid w:val="392E0C76"/>
    <w:rsid w:val="39376C31"/>
    <w:rsid w:val="394A66FA"/>
    <w:rsid w:val="394C25ED"/>
    <w:rsid w:val="39506134"/>
    <w:rsid w:val="396E2DF8"/>
    <w:rsid w:val="3979170D"/>
    <w:rsid w:val="397D3B4D"/>
    <w:rsid w:val="397D3CAE"/>
    <w:rsid w:val="39A3712A"/>
    <w:rsid w:val="39A93E39"/>
    <w:rsid w:val="39B02B8A"/>
    <w:rsid w:val="39D42B76"/>
    <w:rsid w:val="39DC5E29"/>
    <w:rsid w:val="39E13218"/>
    <w:rsid w:val="3A161046"/>
    <w:rsid w:val="3A175247"/>
    <w:rsid w:val="3A177D79"/>
    <w:rsid w:val="3A275F48"/>
    <w:rsid w:val="3A63223A"/>
    <w:rsid w:val="3A634237"/>
    <w:rsid w:val="3A661486"/>
    <w:rsid w:val="3A6D4031"/>
    <w:rsid w:val="3A6F50D5"/>
    <w:rsid w:val="3AA24569"/>
    <w:rsid w:val="3AAE7C41"/>
    <w:rsid w:val="3ABB1DFE"/>
    <w:rsid w:val="3AC96C9F"/>
    <w:rsid w:val="3AD06A7D"/>
    <w:rsid w:val="3AD92F69"/>
    <w:rsid w:val="3AE0388B"/>
    <w:rsid w:val="3AF61300"/>
    <w:rsid w:val="3B054F1D"/>
    <w:rsid w:val="3B1156CD"/>
    <w:rsid w:val="3B2374E7"/>
    <w:rsid w:val="3B26398C"/>
    <w:rsid w:val="3B2F65C0"/>
    <w:rsid w:val="3B3F3CFC"/>
    <w:rsid w:val="3B4A03CE"/>
    <w:rsid w:val="3B642529"/>
    <w:rsid w:val="3B785127"/>
    <w:rsid w:val="3B7E3294"/>
    <w:rsid w:val="3BA1126C"/>
    <w:rsid w:val="3BA615BE"/>
    <w:rsid w:val="3BA71F00"/>
    <w:rsid w:val="3BB324D6"/>
    <w:rsid w:val="3BBF4ADB"/>
    <w:rsid w:val="3BC55607"/>
    <w:rsid w:val="3BD26B21"/>
    <w:rsid w:val="3BD57167"/>
    <w:rsid w:val="3BE40E3F"/>
    <w:rsid w:val="3C0314C6"/>
    <w:rsid w:val="3C155562"/>
    <w:rsid w:val="3C353BAE"/>
    <w:rsid w:val="3C37704B"/>
    <w:rsid w:val="3C4711AE"/>
    <w:rsid w:val="3C502107"/>
    <w:rsid w:val="3C5039A3"/>
    <w:rsid w:val="3C515DEB"/>
    <w:rsid w:val="3C597D99"/>
    <w:rsid w:val="3C8958EB"/>
    <w:rsid w:val="3C9A2306"/>
    <w:rsid w:val="3CA45FA7"/>
    <w:rsid w:val="3CAA0F16"/>
    <w:rsid w:val="3CC16EB2"/>
    <w:rsid w:val="3CC4646D"/>
    <w:rsid w:val="3CCE2A0B"/>
    <w:rsid w:val="3CD0128B"/>
    <w:rsid w:val="3CE64969"/>
    <w:rsid w:val="3CFF6862"/>
    <w:rsid w:val="3D147969"/>
    <w:rsid w:val="3D226681"/>
    <w:rsid w:val="3D2A6DCE"/>
    <w:rsid w:val="3D3159FF"/>
    <w:rsid w:val="3D4718F0"/>
    <w:rsid w:val="3D4D488B"/>
    <w:rsid w:val="3D567E34"/>
    <w:rsid w:val="3D5D31D0"/>
    <w:rsid w:val="3D617D6C"/>
    <w:rsid w:val="3D752C09"/>
    <w:rsid w:val="3D7642C8"/>
    <w:rsid w:val="3D90279B"/>
    <w:rsid w:val="3D9F7BB1"/>
    <w:rsid w:val="3DA34806"/>
    <w:rsid w:val="3DB07EB2"/>
    <w:rsid w:val="3DB23599"/>
    <w:rsid w:val="3DBA40A0"/>
    <w:rsid w:val="3DBB1AD5"/>
    <w:rsid w:val="3DE2791A"/>
    <w:rsid w:val="3DE47B36"/>
    <w:rsid w:val="3E06185A"/>
    <w:rsid w:val="3E186A31"/>
    <w:rsid w:val="3E277C39"/>
    <w:rsid w:val="3E2919ED"/>
    <w:rsid w:val="3E2D15A9"/>
    <w:rsid w:val="3E330175"/>
    <w:rsid w:val="3E356180"/>
    <w:rsid w:val="3E5144CC"/>
    <w:rsid w:val="3E520DC7"/>
    <w:rsid w:val="3E674111"/>
    <w:rsid w:val="3E860BED"/>
    <w:rsid w:val="3E944627"/>
    <w:rsid w:val="3E945595"/>
    <w:rsid w:val="3E9B4698"/>
    <w:rsid w:val="3EAD43CC"/>
    <w:rsid w:val="3EB23790"/>
    <w:rsid w:val="3ECD4126"/>
    <w:rsid w:val="3EDE4585"/>
    <w:rsid w:val="3EF67A9A"/>
    <w:rsid w:val="3F010E33"/>
    <w:rsid w:val="3F022444"/>
    <w:rsid w:val="3F0F1CEE"/>
    <w:rsid w:val="3F1643BE"/>
    <w:rsid w:val="3F2562AE"/>
    <w:rsid w:val="3F3D5750"/>
    <w:rsid w:val="3F4230B0"/>
    <w:rsid w:val="3F4E170B"/>
    <w:rsid w:val="3F5B23BA"/>
    <w:rsid w:val="3F5D3B0E"/>
    <w:rsid w:val="3F7B219F"/>
    <w:rsid w:val="3F9C378B"/>
    <w:rsid w:val="3F9F13E9"/>
    <w:rsid w:val="3FA52F9E"/>
    <w:rsid w:val="3FAD00C3"/>
    <w:rsid w:val="3FB3156E"/>
    <w:rsid w:val="3FDF6008"/>
    <w:rsid w:val="3FE76206"/>
    <w:rsid w:val="3FF55403"/>
    <w:rsid w:val="401B2BD7"/>
    <w:rsid w:val="40395D38"/>
    <w:rsid w:val="40530A8C"/>
    <w:rsid w:val="405443F0"/>
    <w:rsid w:val="405F78BC"/>
    <w:rsid w:val="406E4415"/>
    <w:rsid w:val="407734AC"/>
    <w:rsid w:val="40795178"/>
    <w:rsid w:val="407D1B7C"/>
    <w:rsid w:val="40833636"/>
    <w:rsid w:val="40844CB8"/>
    <w:rsid w:val="40866C82"/>
    <w:rsid w:val="40992DA9"/>
    <w:rsid w:val="40BD14A2"/>
    <w:rsid w:val="40E12A37"/>
    <w:rsid w:val="40E52C26"/>
    <w:rsid w:val="40E65973"/>
    <w:rsid w:val="40E815C2"/>
    <w:rsid w:val="40EA192C"/>
    <w:rsid w:val="40EA26FB"/>
    <w:rsid w:val="40EC3161"/>
    <w:rsid w:val="40F53122"/>
    <w:rsid w:val="40FF23C2"/>
    <w:rsid w:val="41013D81"/>
    <w:rsid w:val="41014AB6"/>
    <w:rsid w:val="411F24F5"/>
    <w:rsid w:val="41240A82"/>
    <w:rsid w:val="41446087"/>
    <w:rsid w:val="41635215"/>
    <w:rsid w:val="4168070D"/>
    <w:rsid w:val="41680D9D"/>
    <w:rsid w:val="417116E0"/>
    <w:rsid w:val="41830C00"/>
    <w:rsid w:val="419801F0"/>
    <w:rsid w:val="41E911B6"/>
    <w:rsid w:val="41F66BF1"/>
    <w:rsid w:val="42001D25"/>
    <w:rsid w:val="42273244"/>
    <w:rsid w:val="422C0BA3"/>
    <w:rsid w:val="422E52CE"/>
    <w:rsid w:val="4231692C"/>
    <w:rsid w:val="423E44BE"/>
    <w:rsid w:val="42415322"/>
    <w:rsid w:val="42457B65"/>
    <w:rsid w:val="4253528A"/>
    <w:rsid w:val="42570F83"/>
    <w:rsid w:val="425D1C65"/>
    <w:rsid w:val="42622E6C"/>
    <w:rsid w:val="427222BD"/>
    <w:rsid w:val="42856E7A"/>
    <w:rsid w:val="42AE24C0"/>
    <w:rsid w:val="42B37595"/>
    <w:rsid w:val="42D31F27"/>
    <w:rsid w:val="430A4C45"/>
    <w:rsid w:val="431648BC"/>
    <w:rsid w:val="43201484"/>
    <w:rsid w:val="4326045A"/>
    <w:rsid w:val="43291B47"/>
    <w:rsid w:val="43486471"/>
    <w:rsid w:val="43507753"/>
    <w:rsid w:val="436D1EF4"/>
    <w:rsid w:val="43870004"/>
    <w:rsid w:val="4394252F"/>
    <w:rsid w:val="439711A6"/>
    <w:rsid w:val="43AF40AC"/>
    <w:rsid w:val="43CC653C"/>
    <w:rsid w:val="43D16466"/>
    <w:rsid w:val="43D23B62"/>
    <w:rsid w:val="43D86C84"/>
    <w:rsid w:val="43FB10A3"/>
    <w:rsid w:val="43FF1225"/>
    <w:rsid w:val="44020D16"/>
    <w:rsid w:val="44136A7F"/>
    <w:rsid w:val="441427F7"/>
    <w:rsid w:val="441D5B50"/>
    <w:rsid w:val="44251FBE"/>
    <w:rsid w:val="44256467"/>
    <w:rsid w:val="442A5B49"/>
    <w:rsid w:val="44337121"/>
    <w:rsid w:val="4434761A"/>
    <w:rsid w:val="443B5FD6"/>
    <w:rsid w:val="44553E06"/>
    <w:rsid w:val="445C12F0"/>
    <w:rsid w:val="44627A06"/>
    <w:rsid w:val="44675AEB"/>
    <w:rsid w:val="447A4D50"/>
    <w:rsid w:val="449F428F"/>
    <w:rsid w:val="44BD1408"/>
    <w:rsid w:val="44CE1FB4"/>
    <w:rsid w:val="44EC1447"/>
    <w:rsid w:val="44F20D8A"/>
    <w:rsid w:val="44F712D8"/>
    <w:rsid w:val="4504286C"/>
    <w:rsid w:val="45060FB7"/>
    <w:rsid w:val="451023FC"/>
    <w:rsid w:val="45190553"/>
    <w:rsid w:val="451D790B"/>
    <w:rsid w:val="451E214A"/>
    <w:rsid w:val="45232CE7"/>
    <w:rsid w:val="4542028B"/>
    <w:rsid w:val="45452808"/>
    <w:rsid w:val="45476E73"/>
    <w:rsid w:val="454B0393"/>
    <w:rsid w:val="45505FC7"/>
    <w:rsid w:val="455236CE"/>
    <w:rsid w:val="45551A3C"/>
    <w:rsid w:val="45583405"/>
    <w:rsid w:val="455C281C"/>
    <w:rsid w:val="45643FC1"/>
    <w:rsid w:val="456A4DC4"/>
    <w:rsid w:val="457048AD"/>
    <w:rsid w:val="45940CBB"/>
    <w:rsid w:val="459C6005"/>
    <w:rsid w:val="45AD6A5F"/>
    <w:rsid w:val="45B25EBA"/>
    <w:rsid w:val="45BC2755"/>
    <w:rsid w:val="45BD1DA8"/>
    <w:rsid w:val="45DE3BE8"/>
    <w:rsid w:val="45EA4C04"/>
    <w:rsid w:val="45F070EF"/>
    <w:rsid w:val="45F2012B"/>
    <w:rsid w:val="45FB77CB"/>
    <w:rsid w:val="46144678"/>
    <w:rsid w:val="462358F3"/>
    <w:rsid w:val="46287D96"/>
    <w:rsid w:val="465D2233"/>
    <w:rsid w:val="46623CEE"/>
    <w:rsid w:val="46655C82"/>
    <w:rsid w:val="467E0B45"/>
    <w:rsid w:val="46880C8C"/>
    <w:rsid w:val="468A0822"/>
    <w:rsid w:val="468B59F1"/>
    <w:rsid w:val="46947F1C"/>
    <w:rsid w:val="46963557"/>
    <w:rsid w:val="469C51B5"/>
    <w:rsid w:val="469D5DCD"/>
    <w:rsid w:val="46A71700"/>
    <w:rsid w:val="46B36705"/>
    <w:rsid w:val="46B65A5C"/>
    <w:rsid w:val="46BB56DD"/>
    <w:rsid w:val="46CE178B"/>
    <w:rsid w:val="46D22C21"/>
    <w:rsid w:val="46D67ABA"/>
    <w:rsid w:val="46D71FE6"/>
    <w:rsid w:val="46E03569"/>
    <w:rsid w:val="46E42955"/>
    <w:rsid w:val="470738C1"/>
    <w:rsid w:val="470E46BB"/>
    <w:rsid w:val="47121F75"/>
    <w:rsid w:val="47180556"/>
    <w:rsid w:val="473F0311"/>
    <w:rsid w:val="47455FC7"/>
    <w:rsid w:val="4749561C"/>
    <w:rsid w:val="474F23A4"/>
    <w:rsid w:val="47507FEA"/>
    <w:rsid w:val="475C594D"/>
    <w:rsid w:val="47886A88"/>
    <w:rsid w:val="478B1022"/>
    <w:rsid w:val="47A52BF1"/>
    <w:rsid w:val="47AA76FA"/>
    <w:rsid w:val="47B41ED5"/>
    <w:rsid w:val="47B62ABC"/>
    <w:rsid w:val="47B74FEF"/>
    <w:rsid w:val="47CA77A6"/>
    <w:rsid w:val="47D63891"/>
    <w:rsid w:val="48020E3F"/>
    <w:rsid w:val="48141018"/>
    <w:rsid w:val="48412D1A"/>
    <w:rsid w:val="484D6DB8"/>
    <w:rsid w:val="48547666"/>
    <w:rsid w:val="486A6E89"/>
    <w:rsid w:val="486F44A0"/>
    <w:rsid w:val="486F45CD"/>
    <w:rsid w:val="487815A6"/>
    <w:rsid w:val="48990CB8"/>
    <w:rsid w:val="48A04659"/>
    <w:rsid w:val="48A62C06"/>
    <w:rsid w:val="48AC0381"/>
    <w:rsid w:val="48BD345D"/>
    <w:rsid w:val="48BD3C71"/>
    <w:rsid w:val="48BF0F83"/>
    <w:rsid w:val="48C339C7"/>
    <w:rsid w:val="48EB3AE7"/>
    <w:rsid w:val="48FE603D"/>
    <w:rsid w:val="4904108C"/>
    <w:rsid w:val="490948F4"/>
    <w:rsid w:val="491464A8"/>
    <w:rsid w:val="491F1A22"/>
    <w:rsid w:val="49284D7B"/>
    <w:rsid w:val="493D2125"/>
    <w:rsid w:val="493E6221"/>
    <w:rsid w:val="49463453"/>
    <w:rsid w:val="49494CF1"/>
    <w:rsid w:val="49504FAA"/>
    <w:rsid w:val="49523A3B"/>
    <w:rsid w:val="495C2C76"/>
    <w:rsid w:val="495D0CB3"/>
    <w:rsid w:val="496A0136"/>
    <w:rsid w:val="496F608E"/>
    <w:rsid w:val="4977360C"/>
    <w:rsid w:val="497E4838"/>
    <w:rsid w:val="498873BA"/>
    <w:rsid w:val="49964C43"/>
    <w:rsid w:val="49A24972"/>
    <w:rsid w:val="49A53CEE"/>
    <w:rsid w:val="49AF0FE4"/>
    <w:rsid w:val="49B7181E"/>
    <w:rsid w:val="49B96949"/>
    <w:rsid w:val="49C36907"/>
    <w:rsid w:val="49C76CDC"/>
    <w:rsid w:val="49CA24B6"/>
    <w:rsid w:val="49D15412"/>
    <w:rsid w:val="49D35DF0"/>
    <w:rsid w:val="49D52532"/>
    <w:rsid w:val="49F70BF1"/>
    <w:rsid w:val="49F70C00"/>
    <w:rsid w:val="4A0A0193"/>
    <w:rsid w:val="4A2C2648"/>
    <w:rsid w:val="4A37554A"/>
    <w:rsid w:val="4A3765A1"/>
    <w:rsid w:val="4A40195F"/>
    <w:rsid w:val="4A4C4C16"/>
    <w:rsid w:val="4A5475F9"/>
    <w:rsid w:val="4A564491"/>
    <w:rsid w:val="4A581C9D"/>
    <w:rsid w:val="4A653BB4"/>
    <w:rsid w:val="4A791606"/>
    <w:rsid w:val="4A8945B9"/>
    <w:rsid w:val="4AA10A2D"/>
    <w:rsid w:val="4AAC5537"/>
    <w:rsid w:val="4AB247CE"/>
    <w:rsid w:val="4ABC6965"/>
    <w:rsid w:val="4ABF48C7"/>
    <w:rsid w:val="4AC72C8D"/>
    <w:rsid w:val="4AE0518C"/>
    <w:rsid w:val="4AFD3876"/>
    <w:rsid w:val="4B09298A"/>
    <w:rsid w:val="4B132F61"/>
    <w:rsid w:val="4B1B7E5E"/>
    <w:rsid w:val="4B1C090F"/>
    <w:rsid w:val="4B3549B7"/>
    <w:rsid w:val="4B3E3678"/>
    <w:rsid w:val="4B410375"/>
    <w:rsid w:val="4B4D51FD"/>
    <w:rsid w:val="4B59022F"/>
    <w:rsid w:val="4B5D6832"/>
    <w:rsid w:val="4B651C04"/>
    <w:rsid w:val="4B702DCF"/>
    <w:rsid w:val="4B77027F"/>
    <w:rsid w:val="4B7E5126"/>
    <w:rsid w:val="4B917AD8"/>
    <w:rsid w:val="4BAF1783"/>
    <w:rsid w:val="4BB85407"/>
    <w:rsid w:val="4BBC5C4E"/>
    <w:rsid w:val="4BBD6432"/>
    <w:rsid w:val="4BC44B03"/>
    <w:rsid w:val="4BCC761C"/>
    <w:rsid w:val="4BDF193C"/>
    <w:rsid w:val="4BE807F1"/>
    <w:rsid w:val="4BEB6533"/>
    <w:rsid w:val="4BF43484"/>
    <w:rsid w:val="4BFC24EE"/>
    <w:rsid w:val="4C080E93"/>
    <w:rsid w:val="4C1A4723"/>
    <w:rsid w:val="4C215AB1"/>
    <w:rsid w:val="4C2C45F4"/>
    <w:rsid w:val="4C2D0BF5"/>
    <w:rsid w:val="4C324C0A"/>
    <w:rsid w:val="4C524557"/>
    <w:rsid w:val="4C683459"/>
    <w:rsid w:val="4C7926EC"/>
    <w:rsid w:val="4C852706"/>
    <w:rsid w:val="4C907653"/>
    <w:rsid w:val="4CA72649"/>
    <w:rsid w:val="4CA94CDB"/>
    <w:rsid w:val="4CAC7B73"/>
    <w:rsid w:val="4CB44B77"/>
    <w:rsid w:val="4CBB00EF"/>
    <w:rsid w:val="4CC542B7"/>
    <w:rsid w:val="4CCF375F"/>
    <w:rsid w:val="4CD7460E"/>
    <w:rsid w:val="4CDC36F2"/>
    <w:rsid w:val="4CF2501F"/>
    <w:rsid w:val="4CF919C1"/>
    <w:rsid w:val="4CFB6302"/>
    <w:rsid w:val="4CFD0A08"/>
    <w:rsid w:val="4CFE5DF2"/>
    <w:rsid w:val="4D164716"/>
    <w:rsid w:val="4D1F46E6"/>
    <w:rsid w:val="4D4A751A"/>
    <w:rsid w:val="4D4B5D20"/>
    <w:rsid w:val="4D4B7289"/>
    <w:rsid w:val="4D5F24AE"/>
    <w:rsid w:val="4D726348"/>
    <w:rsid w:val="4D7762D0"/>
    <w:rsid w:val="4D854078"/>
    <w:rsid w:val="4D85651E"/>
    <w:rsid w:val="4D890DA8"/>
    <w:rsid w:val="4D895C8E"/>
    <w:rsid w:val="4D987FF5"/>
    <w:rsid w:val="4D9B6907"/>
    <w:rsid w:val="4DBF7922"/>
    <w:rsid w:val="4DCC5F88"/>
    <w:rsid w:val="4DD1783D"/>
    <w:rsid w:val="4DD94895"/>
    <w:rsid w:val="4DDB4102"/>
    <w:rsid w:val="4DDE354A"/>
    <w:rsid w:val="4DEB3509"/>
    <w:rsid w:val="4DF150C1"/>
    <w:rsid w:val="4DFF237F"/>
    <w:rsid w:val="4E070317"/>
    <w:rsid w:val="4E0D37FD"/>
    <w:rsid w:val="4E141D71"/>
    <w:rsid w:val="4E170472"/>
    <w:rsid w:val="4E3D4846"/>
    <w:rsid w:val="4E5008D0"/>
    <w:rsid w:val="4E560E52"/>
    <w:rsid w:val="4E6E3170"/>
    <w:rsid w:val="4E990F2F"/>
    <w:rsid w:val="4EA65696"/>
    <w:rsid w:val="4EAA2AF9"/>
    <w:rsid w:val="4EAC3F3F"/>
    <w:rsid w:val="4ED42A97"/>
    <w:rsid w:val="4EEC23A6"/>
    <w:rsid w:val="4F041CA8"/>
    <w:rsid w:val="4F3214EA"/>
    <w:rsid w:val="4F4C72E9"/>
    <w:rsid w:val="4F4F0B87"/>
    <w:rsid w:val="4F6F4D85"/>
    <w:rsid w:val="4F794F79"/>
    <w:rsid w:val="4F7D2893"/>
    <w:rsid w:val="4F8B280C"/>
    <w:rsid w:val="4F931906"/>
    <w:rsid w:val="4F9B3A6B"/>
    <w:rsid w:val="4FA16D29"/>
    <w:rsid w:val="4FA8237E"/>
    <w:rsid w:val="4FAD3B4E"/>
    <w:rsid w:val="4FB60160"/>
    <w:rsid w:val="4FBD1219"/>
    <w:rsid w:val="4FD21D54"/>
    <w:rsid w:val="4FD25661"/>
    <w:rsid w:val="50016B0E"/>
    <w:rsid w:val="50020B82"/>
    <w:rsid w:val="5006769F"/>
    <w:rsid w:val="500A342C"/>
    <w:rsid w:val="500F0A42"/>
    <w:rsid w:val="502D7C51"/>
    <w:rsid w:val="503C55AF"/>
    <w:rsid w:val="50443B1E"/>
    <w:rsid w:val="505E043D"/>
    <w:rsid w:val="50670AAE"/>
    <w:rsid w:val="507A6344"/>
    <w:rsid w:val="508F3931"/>
    <w:rsid w:val="50906654"/>
    <w:rsid w:val="50967B49"/>
    <w:rsid w:val="50AD025B"/>
    <w:rsid w:val="50C730CB"/>
    <w:rsid w:val="50CD4459"/>
    <w:rsid w:val="50DA7151"/>
    <w:rsid w:val="50EF5EAF"/>
    <w:rsid w:val="510B2673"/>
    <w:rsid w:val="51117188"/>
    <w:rsid w:val="511F6DE0"/>
    <w:rsid w:val="5124664D"/>
    <w:rsid w:val="512F48FA"/>
    <w:rsid w:val="5133250E"/>
    <w:rsid w:val="5139564B"/>
    <w:rsid w:val="51475FBA"/>
    <w:rsid w:val="515136FA"/>
    <w:rsid w:val="5153495F"/>
    <w:rsid w:val="515A5B26"/>
    <w:rsid w:val="515B7335"/>
    <w:rsid w:val="51627A01"/>
    <w:rsid w:val="516E1AD5"/>
    <w:rsid w:val="5178370E"/>
    <w:rsid w:val="51806468"/>
    <w:rsid w:val="51822293"/>
    <w:rsid w:val="518A5EA7"/>
    <w:rsid w:val="519146AA"/>
    <w:rsid w:val="519C05E2"/>
    <w:rsid w:val="51A46033"/>
    <w:rsid w:val="51B9343D"/>
    <w:rsid w:val="51C65493"/>
    <w:rsid w:val="51C74511"/>
    <w:rsid w:val="51DF4444"/>
    <w:rsid w:val="51F55A16"/>
    <w:rsid w:val="51FA111F"/>
    <w:rsid w:val="51FC2152"/>
    <w:rsid w:val="52091A22"/>
    <w:rsid w:val="52246283"/>
    <w:rsid w:val="52302083"/>
    <w:rsid w:val="523A78CD"/>
    <w:rsid w:val="524D2B27"/>
    <w:rsid w:val="52523649"/>
    <w:rsid w:val="525749D4"/>
    <w:rsid w:val="52574DA2"/>
    <w:rsid w:val="527069AC"/>
    <w:rsid w:val="52770687"/>
    <w:rsid w:val="52786E90"/>
    <w:rsid w:val="52787261"/>
    <w:rsid w:val="528172AA"/>
    <w:rsid w:val="52831274"/>
    <w:rsid w:val="528924FC"/>
    <w:rsid w:val="52900B84"/>
    <w:rsid w:val="52983258"/>
    <w:rsid w:val="529B0BC9"/>
    <w:rsid w:val="52B70F1D"/>
    <w:rsid w:val="52BB6C5F"/>
    <w:rsid w:val="52C27FEE"/>
    <w:rsid w:val="52CF6267"/>
    <w:rsid w:val="52D002FD"/>
    <w:rsid w:val="52D74925"/>
    <w:rsid w:val="52DB0FF5"/>
    <w:rsid w:val="52EC6C13"/>
    <w:rsid w:val="52EF6F2A"/>
    <w:rsid w:val="52F81CA0"/>
    <w:rsid w:val="52FE1CBE"/>
    <w:rsid w:val="53135A5B"/>
    <w:rsid w:val="531E2631"/>
    <w:rsid w:val="532A16EF"/>
    <w:rsid w:val="532F31A9"/>
    <w:rsid w:val="53385A3C"/>
    <w:rsid w:val="53430EF8"/>
    <w:rsid w:val="53481265"/>
    <w:rsid w:val="534870B4"/>
    <w:rsid w:val="535A2EC6"/>
    <w:rsid w:val="5362192F"/>
    <w:rsid w:val="53630F4A"/>
    <w:rsid w:val="536522FB"/>
    <w:rsid w:val="536B4CA8"/>
    <w:rsid w:val="5389100D"/>
    <w:rsid w:val="538C12D0"/>
    <w:rsid w:val="53900B3D"/>
    <w:rsid w:val="539A04B4"/>
    <w:rsid w:val="53A359A5"/>
    <w:rsid w:val="53A62E87"/>
    <w:rsid w:val="53B13BD4"/>
    <w:rsid w:val="53B51901"/>
    <w:rsid w:val="53BB237B"/>
    <w:rsid w:val="53C5766A"/>
    <w:rsid w:val="53C92805"/>
    <w:rsid w:val="53CB6BE5"/>
    <w:rsid w:val="53D20A83"/>
    <w:rsid w:val="53D73F29"/>
    <w:rsid w:val="53E45D42"/>
    <w:rsid w:val="54183C3E"/>
    <w:rsid w:val="54190131"/>
    <w:rsid w:val="541B0D49"/>
    <w:rsid w:val="5420554A"/>
    <w:rsid w:val="54394315"/>
    <w:rsid w:val="543F2D91"/>
    <w:rsid w:val="54427C1E"/>
    <w:rsid w:val="54711F06"/>
    <w:rsid w:val="548E5DFC"/>
    <w:rsid w:val="54967E97"/>
    <w:rsid w:val="54B020C8"/>
    <w:rsid w:val="54B8193C"/>
    <w:rsid w:val="54BD5D60"/>
    <w:rsid w:val="54DD3301"/>
    <w:rsid w:val="54F46459"/>
    <w:rsid w:val="54F93132"/>
    <w:rsid w:val="55084BB6"/>
    <w:rsid w:val="55261561"/>
    <w:rsid w:val="55360B16"/>
    <w:rsid w:val="55365700"/>
    <w:rsid w:val="553D4343"/>
    <w:rsid w:val="553D45BA"/>
    <w:rsid w:val="553F39FB"/>
    <w:rsid w:val="5540344C"/>
    <w:rsid w:val="554D2914"/>
    <w:rsid w:val="554D7917"/>
    <w:rsid w:val="555D7B70"/>
    <w:rsid w:val="556877D8"/>
    <w:rsid w:val="5585633A"/>
    <w:rsid w:val="55864BD1"/>
    <w:rsid w:val="55A238A6"/>
    <w:rsid w:val="55AD294A"/>
    <w:rsid w:val="55B160F8"/>
    <w:rsid w:val="55DC56BB"/>
    <w:rsid w:val="55F94F4A"/>
    <w:rsid w:val="561F619C"/>
    <w:rsid w:val="563F608C"/>
    <w:rsid w:val="56520D06"/>
    <w:rsid w:val="56534BEA"/>
    <w:rsid w:val="5671425C"/>
    <w:rsid w:val="56737851"/>
    <w:rsid w:val="56786C15"/>
    <w:rsid w:val="56875DF8"/>
    <w:rsid w:val="5688056B"/>
    <w:rsid w:val="568E6439"/>
    <w:rsid w:val="56980077"/>
    <w:rsid w:val="56991ECB"/>
    <w:rsid w:val="56A0760B"/>
    <w:rsid w:val="56A20C94"/>
    <w:rsid w:val="56A54A49"/>
    <w:rsid w:val="56A8574D"/>
    <w:rsid w:val="56A87648"/>
    <w:rsid w:val="56A9724F"/>
    <w:rsid w:val="56B52F3D"/>
    <w:rsid w:val="56B57E6A"/>
    <w:rsid w:val="56B84941"/>
    <w:rsid w:val="56C107C8"/>
    <w:rsid w:val="56C7438E"/>
    <w:rsid w:val="56C836F9"/>
    <w:rsid w:val="56CD2010"/>
    <w:rsid w:val="57014E5D"/>
    <w:rsid w:val="5711709A"/>
    <w:rsid w:val="571409B8"/>
    <w:rsid w:val="572342A9"/>
    <w:rsid w:val="573A301B"/>
    <w:rsid w:val="57447A10"/>
    <w:rsid w:val="57476F00"/>
    <w:rsid w:val="576610FC"/>
    <w:rsid w:val="577E025B"/>
    <w:rsid w:val="57823F78"/>
    <w:rsid w:val="5783105D"/>
    <w:rsid w:val="57875362"/>
    <w:rsid w:val="57912DE9"/>
    <w:rsid w:val="57A913E8"/>
    <w:rsid w:val="57A9647F"/>
    <w:rsid w:val="57AE1241"/>
    <w:rsid w:val="57CE6554"/>
    <w:rsid w:val="57D73809"/>
    <w:rsid w:val="57DD0F9C"/>
    <w:rsid w:val="57DF7C20"/>
    <w:rsid w:val="57FE133B"/>
    <w:rsid w:val="580C6F3F"/>
    <w:rsid w:val="5815295B"/>
    <w:rsid w:val="5824648D"/>
    <w:rsid w:val="58346B00"/>
    <w:rsid w:val="583F3E8F"/>
    <w:rsid w:val="584D65AC"/>
    <w:rsid w:val="5856124E"/>
    <w:rsid w:val="585974C2"/>
    <w:rsid w:val="58792CE8"/>
    <w:rsid w:val="58884A51"/>
    <w:rsid w:val="58AB5496"/>
    <w:rsid w:val="58C04007"/>
    <w:rsid w:val="58D4259A"/>
    <w:rsid w:val="58DA006F"/>
    <w:rsid w:val="58DA7713"/>
    <w:rsid w:val="58F223D7"/>
    <w:rsid w:val="58F84BED"/>
    <w:rsid w:val="58FA046A"/>
    <w:rsid w:val="590649AC"/>
    <w:rsid w:val="590B3EFA"/>
    <w:rsid w:val="59103701"/>
    <w:rsid w:val="59281281"/>
    <w:rsid w:val="592E4E47"/>
    <w:rsid w:val="593E7EE7"/>
    <w:rsid w:val="59405098"/>
    <w:rsid w:val="595050F8"/>
    <w:rsid w:val="597128FB"/>
    <w:rsid w:val="59765BBC"/>
    <w:rsid w:val="59914DBE"/>
    <w:rsid w:val="59C23E8B"/>
    <w:rsid w:val="59DC7237"/>
    <w:rsid w:val="59E46921"/>
    <w:rsid w:val="5A1153B7"/>
    <w:rsid w:val="5A1B5EF9"/>
    <w:rsid w:val="5A290952"/>
    <w:rsid w:val="5A2941B0"/>
    <w:rsid w:val="5A3221DF"/>
    <w:rsid w:val="5A377DFF"/>
    <w:rsid w:val="5A4207EE"/>
    <w:rsid w:val="5A431E22"/>
    <w:rsid w:val="5A4F1EF3"/>
    <w:rsid w:val="5A783688"/>
    <w:rsid w:val="5A7F7BB0"/>
    <w:rsid w:val="5A851F39"/>
    <w:rsid w:val="5A8838A1"/>
    <w:rsid w:val="5A96393D"/>
    <w:rsid w:val="5A9A0964"/>
    <w:rsid w:val="5AB230A3"/>
    <w:rsid w:val="5AB62464"/>
    <w:rsid w:val="5AC60B3C"/>
    <w:rsid w:val="5AD76600"/>
    <w:rsid w:val="5AD91FF8"/>
    <w:rsid w:val="5AF6335C"/>
    <w:rsid w:val="5AFF16B3"/>
    <w:rsid w:val="5B0D6FE2"/>
    <w:rsid w:val="5B0F66FA"/>
    <w:rsid w:val="5B453E21"/>
    <w:rsid w:val="5B551FE2"/>
    <w:rsid w:val="5B625841"/>
    <w:rsid w:val="5B651C89"/>
    <w:rsid w:val="5B653C0C"/>
    <w:rsid w:val="5B716F04"/>
    <w:rsid w:val="5B790DA8"/>
    <w:rsid w:val="5B873DC6"/>
    <w:rsid w:val="5B8878FB"/>
    <w:rsid w:val="5B9743FD"/>
    <w:rsid w:val="5B9E0ECC"/>
    <w:rsid w:val="5BA83AF9"/>
    <w:rsid w:val="5BAA15CF"/>
    <w:rsid w:val="5BAA230F"/>
    <w:rsid w:val="5BB23A7A"/>
    <w:rsid w:val="5BC94459"/>
    <w:rsid w:val="5BD905F6"/>
    <w:rsid w:val="5BDA09DA"/>
    <w:rsid w:val="5BDC2254"/>
    <w:rsid w:val="5BDD5DA4"/>
    <w:rsid w:val="5BE66094"/>
    <w:rsid w:val="5C047A69"/>
    <w:rsid w:val="5C0F00D8"/>
    <w:rsid w:val="5C157E1E"/>
    <w:rsid w:val="5C1B42CB"/>
    <w:rsid w:val="5C2D662D"/>
    <w:rsid w:val="5C39372A"/>
    <w:rsid w:val="5C426605"/>
    <w:rsid w:val="5C4D6443"/>
    <w:rsid w:val="5C5F48BF"/>
    <w:rsid w:val="5C746581"/>
    <w:rsid w:val="5C7A36E7"/>
    <w:rsid w:val="5C8503F5"/>
    <w:rsid w:val="5C962F90"/>
    <w:rsid w:val="5CC20BEA"/>
    <w:rsid w:val="5CC84251"/>
    <w:rsid w:val="5CD56B70"/>
    <w:rsid w:val="5CE344C0"/>
    <w:rsid w:val="5CFD7E74"/>
    <w:rsid w:val="5D031354"/>
    <w:rsid w:val="5D042FB1"/>
    <w:rsid w:val="5D156F6C"/>
    <w:rsid w:val="5D2E44D2"/>
    <w:rsid w:val="5D2E5553"/>
    <w:rsid w:val="5D3C3CAA"/>
    <w:rsid w:val="5D4A1219"/>
    <w:rsid w:val="5D517622"/>
    <w:rsid w:val="5D535CE6"/>
    <w:rsid w:val="5D5B7A61"/>
    <w:rsid w:val="5D9545DB"/>
    <w:rsid w:val="5D9C30B5"/>
    <w:rsid w:val="5D9D41A5"/>
    <w:rsid w:val="5DA07E24"/>
    <w:rsid w:val="5DAD6486"/>
    <w:rsid w:val="5DB80C5E"/>
    <w:rsid w:val="5DC03CD3"/>
    <w:rsid w:val="5DC55B33"/>
    <w:rsid w:val="5DD00333"/>
    <w:rsid w:val="5DDE0A70"/>
    <w:rsid w:val="5DF11787"/>
    <w:rsid w:val="5DF138AA"/>
    <w:rsid w:val="5DF22CD8"/>
    <w:rsid w:val="5DFD62DB"/>
    <w:rsid w:val="5E0D56B1"/>
    <w:rsid w:val="5E101242"/>
    <w:rsid w:val="5E106C11"/>
    <w:rsid w:val="5E2E709F"/>
    <w:rsid w:val="5E4D0FC9"/>
    <w:rsid w:val="5E502651"/>
    <w:rsid w:val="5E5151F3"/>
    <w:rsid w:val="5E6C282E"/>
    <w:rsid w:val="5E766130"/>
    <w:rsid w:val="5E773EFF"/>
    <w:rsid w:val="5E971A80"/>
    <w:rsid w:val="5EA000E8"/>
    <w:rsid w:val="5EA95D5B"/>
    <w:rsid w:val="5EAC3BF7"/>
    <w:rsid w:val="5EBC5244"/>
    <w:rsid w:val="5EDB3539"/>
    <w:rsid w:val="5EDD6303"/>
    <w:rsid w:val="5EDE7B14"/>
    <w:rsid w:val="5EF369C5"/>
    <w:rsid w:val="5F021772"/>
    <w:rsid w:val="5F065BD2"/>
    <w:rsid w:val="5F170351"/>
    <w:rsid w:val="5F294F51"/>
    <w:rsid w:val="5F3233B6"/>
    <w:rsid w:val="5F382BDF"/>
    <w:rsid w:val="5F4F3E1E"/>
    <w:rsid w:val="5F675E95"/>
    <w:rsid w:val="5F6D12E1"/>
    <w:rsid w:val="5F6E6A4D"/>
    <w:rsid w:val="5F732F1E"/>
    <w:rsid w:val="5F74239E"/>
    <w:rsid w:val="5F8733A5"/>
    <w:rsid w:val="5FA37575"/>
    <w:rsid w:val="5FA62B95"/>
    <w:rsid w:val="5FAA4109"/>
    <w:rsid w:val="5FB11D04"/>
    <w:rsid w:val="5FB47416"/>
    <w:rsid w:val="5FC968CB"/>
    <w:rsid w:val="5FCE4E78"/>
    <w:rsid w:val="5FD72BFF"/>
    <w:rsid w:val="5FED592B"/>
    <w:rsid w:val="5FEE5C46"/>
    <w:rsid w:val="5FF13CC0"/>
    <w:rsid w:val="5FF900E7"/>
    <w:rsid w:val="5FF922DD"/>
    <w:rsid w:val="60046670"/>
    <w:rsid w:val="600E47EA"/>
    <w:rsid w:val="601710AD"/>
    <w:rsid w:val="60214EC2"/>
    <w:rsid w:val="6028426C"/>
    <w:rsid w:val="6030168E"/>
    <w:rsid w:val="604F7B94"/>
    <w:rsid w:val="60596D42"/>
    <w:rsid w:val="6065591E"/>
    <w:rsid w:val="60673F83"/>
    <w:rsid w:val="606D16E5"/>
    <w:rsid w:val="60737959"/>
    <w:rsid w:val="60785969"/>
    <w:rsid w:val="607B45B8"/>
    <w:rsid w:val="609A3376"/>
    <w:rsid w:val="609F196E"/>
    <w:rsid w:val="60A13B43"/>
    <w:rsid w:val="60AB3746"/>
    <w:rsid w:val="60BB174E"/>
    <w:rsid w:val="60BD4627"/>
    <w:rsid w:val="60BE7042"/>
    <w:rsid w:val="60C426D9"/>
    <w:rsid w:val="60CB45A9"/>
    <w:rsid w:val="60F021CA"/>
    <w:rsid w:val="60FD3E99"/>
    <w:rsid w:val="61096DE8"/>
    <w:rsid w:val="610F2490"/>
    <w:rsid w:val="612510AF"/>
    <w:rsid w:val="61271964"/>
    <w:rsid w:val="61362854"/>
    <w:rsid w:val="614809AA"/>
    <w:rsid w:val="61552104"/>
    <w:rsid w:val="615D0878"/>
    <w:rsid w:val="615E1FB9"/>
    <w:rsid w:val="61612581"/>
    <w:rsid w:val="616F6DD5"/>
    <w:rsid w:val="6175447D"/>
    <w:rsid w:val="617D1968"/>
    <w:rsid w:val="61926A76"/>
    <w:rsid w:val="619743F4"/>
    <w:rsid w:val="619E0A88"/>
    <w:rsid w:val="619E4986"/>
    <w:rsid w:val="61A67C0E"/>
    <w:rsid w:val="61B3102E"/>
    <w:rsid w:val="61B431F8"/>
    <w:rsid w:val="61BF4E97"/>
    <w:rsid w:val="61C420EE"/>
    <w:rsid w:val="61D30253"/>
    <w:rsid w:val="61D94A0C"/>
    <w:rsid w:val="61E23529"/>
    <w:rsid w:val="61F5570D"/>
    <w:rsid w:val="61FD0D8C"/>
    <w:rsid w:val="6213657F"/>
    <w:rsid w:val="623E511D"/>
    <w:rsid w:val="624327CD"/>
    <w:rsid w:val="62433813"/>
    <w:rsid w:val="62555CA4"/>
    <w:rsid w:val="625606A0"/>
    <w:rsid w:val="625C4ADD"/>
    <w:rsid w:val="62642D3B"/>
    <w:rsid w:val="6265722F"/>
    <w:rsid w:val="62793F50"/>
    <w:rsid w:val="627A6A6A"/>
    <w:rsid w:val="628926E6"/>
    <w:rsid w:val="628A51BD"/>
    <w:rsid w:val="62AD04C7"/>
    <w:rsid w:val="62B00F28"/>
    <w:rsid w:val="62B27BA3"/>
    <w:rsid w:val="62D17FA7"/>
    <w:rsid w:val="62DF47B8"/>
    <w:rsid w:val="62FE647A"/>
    <w:rsid w:val="630C2BBF"/>
    <w:rsid w:val="63113C80"/>
    <w:rsid w:val="631234D0"/>
    <w:rsid w:val="63125776"/>
    <w:rsid w:val="63306D86"/>
    <w:rsid w:val="63422A85"/>
    <w:rsid w:val="63593643"/>
    <w:rsid w:val="635C7C01"/>
    <w:rsid w:val="635D2705"/>
    <w:rsid w:val="635F7B3D"/>
    <w:rsid w:val="636103A5"/>
    <w:rsid w:val="63730481"/>
    <w:rsid w:val="637D586B"/>
    <w:rsid w:val="638135AD"/>
    <w:rsid w:val="63824B85"/>
    <w:rsid w:val="63975F39"/>
    <w:rsid w:val="63A177AC"/>
    <w:rsid w:val="63A230F7"/>
    <w:rsid w:val="63A2533A"/>
    <w:rsid w:val="63A27C8E"/>
    <w:rsid w:val="63A70B3A"/>
    <w:rsid w:val="63A96271"/>
    <w:rsid w:val="63C15537"/>
    <w:rsid w:val="63C27722"/>
    <w:rsid w:val="63CE4319"/>
    <w:rsid w:val="63D25613"/>
    <w:rsid w:val="63DD455C"/>
    <w:rsid w:val="63EE0035"/>
    <w:rsid w:val="63F849DD"/>
    <w:rsid w:val="640815D9"/>
    <w:rsid w:val="641140ED"/>
    <w:rsid w:val="642B401F"/>
    <w:rsid w:val="642F7E6B"/>
    <w:rsid w:val="64340620"/>
    <w:rsid w:val="64346872"/>
    <w:rsid w:val="646D7C40"/>
    <w:rsid w:val="647050A8"/>
    <w:rsid w:val="64764597"/>
    <w:rsid w:val="64794AA9"/>
    <w:rsid w:val="64961430"/>
    <w:rsid w:val="64B61035"/>
    <w:rsid w:val="64BB664B"/>
    <w:rsid w:val="64C613BB"/>
    <w:rsid w:val="64D616D7"/>
    <w:rsid w:val="650212CF"/>
    <w:rsid w:val="65096F3D"/>
    <w:rsid w:val="650C049D"/>
    <w:rsid w:val="651804E3"/>
    <w:rsid w:val="65201180"/>
    <w:rsid w:val="653E19EF"/>
    <w:rsid w:val="65416DF6"/>
    <w:rsid w:val="654D1F52"/>
    <w:rsid w:val="6562740E"/>
    <w:rsid w:val="65654809"/>
    <w:rsid w:val="656F1C72"/>
    <w:rsid w:val="65731DB6"/>
    <w:rsid w:val="65736F26"/>
    <w:rsid w:val="65993FFF"/>
    <w:rsid w:val="659E1D40"/>
    <w:rsid w:val="65A369A9"/>
    <w:rsid w:val="65BB4C88"/>
    <w:rsid w:val="65BB5715"/>
    <w:rsid w:val="65BD6E2B"/>
    <w:rsid w:val="65C14135"/>
    <w:rsid w:val="65E938F0"/>
    <w:rsid w:val="65E971E8"/>
    <w:rsid w:val="65EE68BE"/>
    <w:rsid w:val="65F51821"/>
    <w:rsid w:val="660B715E"/>
    <w:rsid w:val="661E3335"/>
    <w:rsid w:val="662463E4"/>
    <w:rsid w:val="662621EA"/>
    <w:rsid w:val="66323C4B"/>
    <w:rsid w:val="66405455"/>
    <w:rsid w:val="66696123"/>
    <w:rsid w:val="666E0770"/>
    <w:rsid w:val="66763171"/>
    <w:rsid w:val="66783948"/>
    <w:rsid w:val="667A54D2"/>
    <w:rsid w:val="667F1329"/>
    <w:rsid w:val="66810F6F"/>
    <w:rsid w:val="66836E16"/>
    <w:rsid w:val="668F4233"/>
    <w:rsid w:val="66941F15"/>
    <w:rsid w:val="66947433"/>
    <w:rsid w:val="66B23A7E"/>
    <w:rsid w:val="66D37557"/>
    <w:rsid w:val="66E305B3"/>
    <w:rsid w:val="66E407D8"/>
    <w:rsid w:val="672C1A82"/>
    <w:rsid w:val="672F3320"/>
    <w:rsid w:val="67344D19"/>
    <w:rsid w:val="6736134F"/>
    <w:rsid w:val="674344A0"/>
    <w:rsid w:val="67441712"/>
    <w:rsid w:val="676D660B"/>
    <w:rsid w:val="677E6485"/>
    <w:rsid w:val="67805DE5"/>
    <w:rsid w:val="679A2E90"/>
    <w:rsid w:val="67A71109"/>
    <w:rsid w:val="67BB3189"/>
    <w:rsid w:val="67BF28F6"/>
    <w:rsid w:val="67CB3049"/>
    <w:rsid w:val="67CC6DC1"/>
    <w:rsid w:val="67D72CD0"/>
    <w:rsid w:val="67E70573"/>
    <w:rsid w:val="67FF0F45"/>
    <w:rsid w:val="680227E3"/>
    <w:rsid w:val="68273DB5"/>
    <w:rsid w:val="6828306A"/>
    <w:rsid w:val="68315D5E"/>
    <w:rsid w:val="684704F7"/>
    <w:rsid w:val="686446E6"/>
    <w:rsid w:val="68660FC4"/>
    <w:rsid w:val="687763A7"/>
    <w:rsid w:val="688356D2"/>
    <w:rsid w:val="6884144A"/>
    <w:rsid w:val="68904E70"/>
    <w:rsid w:val="68996E3C"/>
    <w:rsid w:val="689D48EB"/>
    <w:rsid w:val="68A1024E"/>
    <w:rsid w:val="68B541FC"/>
    <w:rsid w:val="68C240DD"/>
    <w:rsid w:val="68D334ED"/>
    <w:rsid w:val="68E84DBB"/>
    <w:rsid w:val="68EC6DBE"/>
    <w:rsid w:val="69077C06"/>
    <w:rsid w:val="690B4931"/>
    <w:rsid w:val="69147E90"/>
    <w:rsid w:val="694306DF"/>
    <w:rsid w:val="696D03C4"/>
    <w:rsid w:val="69895ED5"/>
    <w:rsid w:val="698E0603"/>
    <w:rsid w:val="69900C58"/>
    <w:rsid w:val="6995582A"/>
    <w:rsid w:val="69AF302E"/>
    <w:rsid w:val="69BA26FA"/>
    <w:rsid w:val="69BB70ED"/>
    <w:rsid w:val="69C50866"/>
    <w:rsid w:val="6A020262"/>
    <w:rsid w:val="6A1C3810"/>
    <w:rsid w:val="6A2203C5"/>
    <w:rsid w:val="6A23063C"/>
    <w:rsid w:val="6A2B4273"/>
    <w:rsid w:val="6A472021"/>
    <w:rsid w:val="6A4D269B"/>
    <w:rsid w:val="6A584262"/>
    <w:rsid w:val="6A8104EF"/>
    <w:rsid w:val="6A810722"/>
    <w:rsid w:val="6A8A1327"/>
    <w:rsid w:val="6A955467"/>
    <w:rsid w:val="6A9E2C97"/>
    <w:rsid w:val="6ABF4768"/>
    <w:rsid w:val="6AD41EC8"/>
    <w:rsid w:val="6ADE7487"/>
    <w:rsid w:val="6AEB57B0"/>
    <w:rsid w:val="6AFA59F3"/>
    <w:rsid w:val="6B29769F"/>
    <w:rsid w:val="6B2A62D8"/>
    <w:rsid w:val="6B2F4510"/>
    <w:rsid w:val="6B3D011F"/>
    <w:rsid w:val="6B3F6847"/>
    <w:rsid w:val="6B421874"/>
    <w:rsid w:val="6B4A0729"/>
    <w:rsid w:val="6B6005BB"/>
    <w:rsid w:val="6B6671F7"/>
    <w:rsid w:val="6B6D2A09"/>
    <w:rsid w:val="6B71762C"/>
    <w:rsid w:val="6B737C7F"/>
    <w:rsid w:val="6B7E6624"/>
    <w:rsid w:val="6B886FB3"/>
    <w:rsid w:val="6B966DF8"/>
    <w:rsid w:val="6B9B6E65"/>
    <w:rsid w:val="6BA856C5"/>
    <w:rsid w:val="6BAF415A"/>
    <w:rsid w:val="6BB17334"/>
    <w:rsid w:val="6BBD0393"/>
    <w:rsid w:val="6BCB7ECA"/>
    <w:rsid w:val="6BCF0D43"/>
    <w:rsid w:val="6BDA6437"/>
    <w:rsid w:val="6BF0320D"/>
    <w:rsid w:val="6BF90704"/>
    <w:rsid w:val="6C066D46"/>
    <w:rsid w:val="6C073622"/>
    <w:rsid w:val="6C3D0FC5"/>
    <w:rsid w:val="6C48738D"/>
    <w:rsid w:val="6C605B46"/>
    <w:rsid w:val="6C643F28"/>
    <w:rsid w:val="6C805920"/>
    <w:rsid w:val="6CA36342"/>
    <w:rsid w:val="6CBB2471"/>
    <w:rsid w:val="6CBC7404"/>
    <w:rsid w:val="6CC01F12"/>
    <w:rsid w:val="6CC9679F"/>
    <w:rsid w:val="6CE025C3"/>
    <w:rsid w:val="6CE131BE"/>
    <w:rsid w:val="6CE313B1"/>
    <w:rsid w:val="6D0D4104"/>
    <w:rsid w:val="6D464F20"/>
    <w:rsid w:val="6D5029C6"/>
    <w:rsid w:val="6D5B6243"/>
    <w:rsid w:val="6D64306F"/>
    <w:rsid w:val="6D714693"/>
    <w:rsid w:val="6D732849"/>
    <w:rsid w:val="6D781C09"/>
    <w:rsid w:val="6D7B1112"/>
    <w:rsid w:val="6D994B6E"/>
    <w:rsid w:val="6DA560EA"/>
    <w:rsid w:val="6DB614D9"/>
    <w:rsid w:val="6DBF3BD6"/>
    <w:rsid w:val="6DC07D96"/>
    <w:rsid w:val="6DCD73EF"/>
    <w:rsid w:val="6DD47F93"/>
    <w:rsid w:val="6DE304D5"/>
    <w:rsid w:val="6DEA1D4F"/>
    <w:rsid w:val="6DF06F24"/>
    <w:rsid w:val="6DF25A24"/>
    <w:rsid w:val="6DF57072"/>
    <w:rsid w:val="6E050625"/>
    <w:rsid w:val="6E223084"/>
    <w:rsid w:val="6E2A33C4"/>
    <w:rsid w:val="6E2C128C"/>
    <w:rsid w:val="6E317C2B"/>
    <w:rsid w:val="6E351B79"/>
    <w:rsid w:val="6E393B5D"/>
    <w:rsid w:val="6E400C43"/>
    <w:rsid w:val="6E522E74"/>
    <w:rsid w:val="6E625D89"/>
    <w:rsid w:val="6E644B27"/>
    <w:rsid w:val="6E661094"/>
    <w:rsid w:val="6E6773AC"/>
    <w:rsid w:val="6E6F7FAE"/>
    <w:rsid w:val="6E864C1F"/>
    <w:rsid w:val="6EA42846"/>
    <w:rsid w:val="6EA96560"/>
    <w:rsid w:val="6EAA4AFC"/>
    <w:rsid w:val="6EBA78E4"/>
    <w:rsid w:val="6EE37D0E"/>
    <w:rsid w:val="6EE90351"/>
    <w:rsid w:val="6EFC4430"/>
    <w:rsid w:val="6F055D56"/>
    <w:rsid w:val="6F153E5C"/>
    <w:rsid w:val="6F2A4AF9"/>
    <w:rsid w:val="6F2F0361"/>
    <w:rsid w:val="6F490707"/>
    <w:rsid w:val="6F55540F"/>
    <w:rsid w:val="6F6D70DC"/>
    <w:rsid w:val="6F857F81"/>
    <w:rsid w:val="6F8B745E"/>
    <w:rsid w:val="6F9D337A"/>
    <w:rsid w:val="6F9E54E7"/>
    <w:rsid w:val="6F9F6EC4"/>
    <w:rsid w:val="6FD3733C"/>
    <w:rsid w:val="6FE23626"/>
    <w:rsid w:val="6FE43978"/>
    <w:rsid w:val="6FF024D4"/>
    <w:rsid w:val="6FF42E3E"/>
    <w:rsid w:val="700A492A"/>
    <w:rsid w:val="700C6E29"/>
    <w:rsid w:val="701D465E"/>
    <w:rsid w:val="70465603"/>
    <w:rsid w:val="70466A85"/>
    <w:rsid w:val="705067E1"/>
    <w:rsid w:val="70523346"/>
    <w:rsid w:val="7054459D"/>
    <w:rsid w:val="7059287D"/>
    <w:rsid w:val="706F478E"/>
    <w:rsid w:val="707772A1"/>
    <w:rsid w:val="70783A2C"/>
    <w:rsid w:val="7085526C"/>
    <w:rsid w:val="708B5A6B"/>
    <w:rsid w:val="709D754D"/>
    <w:rsid w:val="70A33791"/>
    <w:rsid w:val="70B07917"/>
    <w:rsid w:val="70B52AE8"/>
    <w:rsid w:val="70B76EAA"/>
    <w:rsid w:val="70C25205"/>
    <w:rsid w:val="70D77BF8"/>
    <w:rsid w:val="70D87E0D"/>
    <w:rsid w:val="70E92B0A"/>
    <w:rsid w:val="70EB650A"/>
    <w:rsid w:val="70F5003C"/>
    <w:rsid w:val="70FD6231"/>
    <w:rsid w:val="71146476"/>
    <w:rsid w:val="711C4915"/>
    <w:rsid w:val="711E68DF"/>
    <w:rsid w:val="712E4649"/>
    <w:rsid w:val="71464742"/>
    <w:rsid w:val="7167139A"/>
    <w:rsid w:val="716768F4"/>
    <w:rsid w:val="7175329D"/>
    <w:rsid w:val="717F1FD2"/>
    <w:rsid w:val="718445AA"/>
    <w:rsid w:val="71976731"/>
    <w:rsid w:val="71B608C6"/>
    <w:rsid w:val="71B76C49"/>
    <w:rsid w:val="71C105DB"/>
    <w:rsid w:val="71D51FB8"/>
    <w:rsid w:val="71DA5590"/>
    <w:rsid w:val="71DC43CA"/>
    <w:rsid w:val="71E13469"/>
    <w:rsid w:val="71EB05FA"/>
    <w:rsid w:val="71ED6BB8"/>
    <w:rsid w:val="71EF5B86"/>
    <w:rsid w:val="71F8284A"/>
    <w:rsid w:val="71FB277D"/>
    <w:rsid w:val="720A4C9F"/>
    <w:rsid w:val="72192C03"/>
    <w:rsid w:val="722F2426"/>
    <w:rsid w:val="72314393"/>
    <w:rsid w:val="723431B4"/>
    <w:rsid w:val="72393225"/>
    <w:rsid w:val="723B343A"/>
    <w:rsid w:val="724A3CBE"/>
    <w:rsid w:val="72597C61"/>
    <w:rsid w:val="725E3F86"/>
    <w:rsid w:val="72750350"/>
    <w:rsid w:val="72763C8F"/>
    <w:rsid w:val="729276BA"/>
    <w:rsid w:val="72A050D2"/>
    <w:rsid w:val="72B334C7"/>
    <w:rsid w:val="72CC236B"/>
    <w:rsid w:val="72D359A3"/>
    <w:rsid w:val="72DF3E4C"/>
    <w:rsid w:val="72E0568B"/>
    <w:rsid w:val="72E9671E"/>
    <w:rsid w:val="72EB2685"/>
    <w:rsid w:val="72F04B8E"/>
    <w:rsid w:val="72F53670"/>
    <w:rsid w:val="72F90C43"/>
    <w:rsid w:val="72FA0C86"/>
    <w:rsid w:val="72FF44EF"/>
    <w:rsid w:val="73186167"/>
    <w:rsid w:val="735447D7"/>
    <w:rsid w:val="735461A3"/>
    <w:rsid w:val="735A3288"/>
    <w:rsid w:val="735B0E4A"/>
    <w:rsid w:val="73693350"/>
    <w:rsid w:val="736B1B84"/>
    <w:rsid w:val="736B2DB4"/>
    <w:rsid w:val="736E3F31"/>
    <w:rsid w:val="73AD3C4B"/>
    <w:rsid w:val="73B05844"/>
    <w:rsid w:val="73D130C8"/>
    <w:rsid w:val="73E519D8"/>
    <w:rsid w:val="73F97B4A"/>
    <w:rsid w:val="74104710"/>
    <w:rsid w:val="7414053C"/>
    <w:rsid w:val="74142674"/>
    <w:rsid w:val="74250C33"/>
    <w:rsid w:val="742906E1"/>
    <w:rsid w:val="74290CA2"/>
    <w:rsid w:val="742C1313"/>
    <w:rsid w:val="742F4960"/>
    <w:rsid w:val="74362346"/>
    <w:rsid w:val="743A2275"/>
    <w:rsid w:val="74406B6D"/>
    <w:rsid w:val="745576E5"/>
    <w:rsid w:val="74742407"/>
    <w:rsid w:val="74763F0D"/>
    <w:rsid w:val="74775BA2"/>
    <w:rsid w:val="747F1FB7"/>
    <w:rsid w:val="74814A99"/>
    <w:rsid w:val="7485593F"/>
    <w:rsid w:val="74982505"/>
    <w:rsid w:val="749E3893"/>
    <w:rsid w:val="74A0585D"/>
    <w:rsid w:val="74A51910"/>
    <w:rsid w:val="74AC5FB0"/>
    <w:rsid w:val="74B404FD"/>
    <w:rsid w:val="74D605F5"/>
    <w:rsid w:val="74EC29CB"/>
    <w:rsid w:val="74EE100F"/>
    <w:rsid w:val="74F160B9"/>
    <w:rsid w:val="74FE7983"/>
    <w:rsid w:val="750527CB"/>
    <w:rsid w:val="7507768A"/>
    <w:rsid w:val="750E34A3"/>
    <w:rsid w:val="75153B55"/>
    <w:rsid w:val="7517266A"/>
    <w:rsid w:val="751849ED"/>
    <w:rsid w:val="751E5917"/>
    <w:rsid w:val="75252452"/>
    <w:rsid w:val="753B0154"/>
    <w:rsid w:val="756633AE"/>
    <w:rsid w:val="756E770A"/>
    <w:rsid w:val="757F0C2F"/>
    <w:rsid w:val="7581532E"/>
    <w:rsid w:val="75882579"/>
    <w:rsid w:val="758A6F44"/>
    <w:rsid w:val="759068E8"/>
    <w:rsid w:val="75A1363B"/>
    <w:rsid w:val="75A90742"/>
    <w:rsid w:val="75B96BD7"/>
    <w:rsid w:val="75C8639E"/>
    <w:rsid w:val="75E41321"/>
    <w:rsid w:val="75E73D94"/>
    <w:rsid w:val="75E74A69"/>
    <w:rsid w:val="75EA4FE2"/>
    <w:rsid w:val="75F15FD2"/>
    <w:rsid w:val="75FC5888"/>
    <w:rsid w:val="76193E6D"/>
    <w:rsid w:val="76197675"/>
    <w:rsid w:val="76257525"/>
    <w:rsid w:val="763D7808"/>
    <w:rsid w:val="764B6F91"/>
    <w:rsid w:val="76584340"/>
    <w:rsid w:val="765E152C"/>
    <w:rsid w:val="76644D3A"/>
    <w:rsid w:val="7693567A"/>
    <w:rsid w:val="769B6E17"/>
    <w:rsid w:val="76A61BCD"/>
    <w:rsid w:val="76B63116"/>
    <w:rsid w:val="76BD6253"/>
    <w:rsid w:val="76C05D43"/>
    <w:rsid w:val="76C27D0D"/>
    <w:rsid w:val="76D4359C"/>
    <w:rsid w:val="76E30B2F"/>
    <w:rsid w:val="76E45FCB"/>
    <w:rsid w:val="76E969F9"/>
    <w:rsid w:val="76EB1D7A"/>
    <w:rsid w:val="76EE28B0"/>
    <w:rsid w:val="76F2681B"/>
    <w:rsid w:val="76F7284D"/>
    <w:rsid w:val="7735228D"/>
    <w:rsid w:val="77383B2B"/>
    <w:rsid w:val="77387FCF"/>
    <w:rsid w:val="774F2913"/>
    <w:rsid w:val="7758026E"/>
    <w:rsid w:val="7764151C"/>
    <w:rsid w:val="7771516E"/>
    <w:rsid w:val="77775B10"/>
    <w:rsid w:val="778A55E7"/>
    <w:rsid w:val="779E612D"/>
    <w:rsid w:val="77A654CE"/>
    <w:rsid w:val="77AD5DA7"/>
    <w:rsid w:val="77B36612"/>
    <w:rsid w:val="77C77F17"/>
    <w:rsid w:val="77CA50CB"/>
    <w:rsid w:val="77CC4C2B"/>
    <w:rsid w:val="77CE39DF"/>
    <w:rsid w:val="77D9530E"/>
    <w:rsid w:val="77DB4FBB"/>
    <w:rsid w:val="77F45342"/>
    <w:rsid w:val="780F0ACD"/>
    <w:rsid w:val="78177BE5"/>
    <w:rsid w:val="782A7918"/>
    <w:rsid w:val="7840713B"/>
    <w:rsid w:val="78520C1D"/>
    <w:rsid w:val="785719CA"/>
    <w:rsid w:val="78685442"/>
    <w:rsid w:val="786F5C61"/>
    <w:rsid w:val="78700C88"/>
    <w:rsid w:val="78767E2F"/>
    <w:rsid w:val="787D687C"/>
    <w:rsid w:val="789614B5"/>
    <w:rsid w:val="78B90675"/>
    <w:rsid w:val="78BA7920"/>
    <w:rsid w:val="78C05694"/>
    <w:rsid w:val="78C23B17"/>
    <w:rsid w:val="78CF7E91"/>
    <w:rsid w:val="78D3316E"/>
    <w:rsid w:val="78DF2B6C"/>
    <w:rsid w:val="78EB46D7"/>
    <w:rsid w:val="78F45C2F"/>
    <w:rsid w:val="78F84ACD"/>
    <w:rsid w:val="78F92247"/>
    <w:rsid w:val="790E2D96"/>
    <w:rsid w:val="79202267"/>
    <w:rsid w:val="79220296"/>
    <w:rsid w:val="79386B08"/>
    <w:rsid w:val="79533D73"/>
    <w:rsid w:val="797C066A"/>
    <w:rsid w:val="79AF2C0E"/>
    <w:rsid w:val="79BA2F1D"/>
    <w:rsid w:val="79C82809"/>
    <w:rsid w:val="79CD1C6A"/>
    <w:rsid w:val="79D9178E"/>
    <w:rsid w:val="79E04BFB"/>
    <w:rsid w:val="79E1494E"/>
    <w:rsid w:val="79E34C25"/>
    <w:rsid w:val="79EA42F5"/>
    <w:rsid w:val="7A0C7C04"/>
    <w:rsid w:val="7A1B68CA"/>
    <w:rsid w:val="7A207863"/>
    <w:rsid w:val="7A293259"/>
    <w:rsid w:val="7A2D0726"/>
    <w:rsid w:val="7A323063"/>
    <w:rsid w:val="7A3727C0"/>
    <w:rsid w:val="7A3E58FC"/>
    <w:rsid w:val="7A684727"/>
    <w:rsid w:val="7A7E6DA7"/>
    <w:rsid w:val="7A895ED9"/>
    <w:rsid w:val="7AB612EB"/>
    <w:rsid w:val="7AC0777F"/>
    <w:rsid w:val="7ACB25F7"/>
    <w:rsid w:val="7AF64429"/>
    <w:rsid w:val="7B0A57DF"/>
    <w:rsid w:val="7B294301"/>
    <w:rsid w:val="7B3311D9"/>
    <w:rsid w:val="7B3522A4"/>
    <w:rsid w:val="7B3806B7"/>
    <w:rsid w:val="7B5F5B2A"/>
    <w:rsid w:val="7B681E25"/>
    <w:rsid w:val="7B694BFB"/>
    <w:rsid w:val="7B7B048A"/>
    <w:rsid w:val="7BA145F1"/>
    <w:rsid w:val="7BA335F4"/>
    <w:rsid w:val="7BAE0860"/>
    <w:rsid w:val="7BC30E14"/>
    <w:rsid w:val="7BC92F54"/>
    <w:rsid w:val="7BD623FC"/>
    <w:rsid w:val="7BEE19B9"/>
    <w:rsid w:val="7BFD120D"/>
    <w:rsid w:val="7C07056B"/>
    <w:rsid w:val="7C176E2B"/>
    <w:rsid w:val="7C236930"/>
    <w:rsid w:val="7C2D3B12"/>
    <w:rsid w:val="7C33582D"/>
    <w:rsid w:val="7C3B259F"/>
    <w:rsid w:val="7C411006"/>
    <w:rsid w:val="7C475526"/>
    <w:rsid w:val="7C5A0A60"/>
    <w:rsid w:val="7C5E2A75"/>
    <w:rsid w:val="7C6A7D9E"/>
    <w:rsid w:val="7C6F7FEF"/>
    <w:rsid w:val="7C770DB1"/>
    <w:rsid w:val="7C7C0088"/>
    <w:rsid w:val="7C87068A"/>
    <w:rsid w:val="7C9C6F4E"/>
    <w:rsid w:val="7CA66E71"/>
    <w:rsid w:val="7CA8645E"/>
    <w:rsid w:val="7CAB1DA7"/>
    <w:rsid w:val="7CAB3D98"/>
    <w:rsid w:val="7CB64F40"/>
    <w:rsid w:val="7CBC01C6"/>
    <w:rsid w:val="7CC04EC7"/>
    <w:rsid w:val="7CC15FE3"/>
    <w:rsid w:val="7CCF6205"/>
    <w:rsid w:val="7CFB1883"/>
    <w:rsid w:val="7D037987"/>
    <w:rsid w:val="7D2A161A"/>
    <w:rsid w:val="7D4F71A6"/>
    <w:rsid w:val="7D594108"/>
    <w:rsid w:val="7D5947DF"/>
    <w:rsid w:val="7D603DDC"/>
    <w:rsid w:val="7D616CE3"/>
    <w:rsid w:val="7D675AC8"/>
    <w:rsid w:val="7D7D0ED9"/>
    <w:rsid w:val="7D9323F2"/>
    <w:rsid w:val="7D9B4E14"/>
    <w:rsid w:val="7D9F565B"/>
    <w:rsid w:val="7DC06AC3"/>
    <w:rsid w:val="7DDB1F42"/>
    <w:rsid w:val="7DDD7A8F"/>
    <w:rsid w:val="7DE51123"/>
    <w:rsid w:val="7DFA0CBC"/>
    <w:rsid w:val="7E1A651D"/>
    <w:rsid w:val="7E1D3B69"/>
    <w:rsid w:val="7E2520AC"/>
    <w:rsid w:val="7E2B06D6"/>
    <w:rsid w:val="7E3037AE"/>
    <w:rsid w:val="7E352C87"/>
    <w:rsid w:val="7E373287"/>
    <w:rsid w:val="7E3A29B2"/>
    <w:rsid w:val="7E476382"/>
    <w:rsid w:val="7E4E0F34"/>
    <w:rsid w:val="7E4E619C"/>
    <w:rsid w:val="7E5832FE"/>
    <w:rsid w:val="7E8C292A"/>
    <w:rsid w:val="7E9465DA"/>
    <w:rsid w:val="7E961A47"/>
    <w:rsid w:val="7EA221D1"/>
    <w:rsid w:val="7EB04565"/>
    <w:rsid w:val="7ECA022E"/>
    <w:rsid w:val="7ECF3624"/>
    <w:rsid w:val="7ED405DD"/>
    <w:rsid w:val="7EDF4FD9"/>
    <w:rsid w:val="7F1C5D6E"/>
    <w:rsid w:val="7F215E28"/>
    <w:rsid w:val="7F271055"/>
    <w:rsid w:val="7F316491"/>
    <w:rsid w:val="7F3217A8"/>
    <w:rsid w:val="7F4E7AA1"/>
    <w:rsid w:val="7F570242"/>
    <w:rsid w:val="7F691D48"/>
    <w:rsid w:val="7F744620"/>
    <w:rsid w:val="7F853FCE"/>
    <w:rsid w:val="7F964BD9"/>
    <w:rsid w:val="7FAD58C6"/>
    <w:rsid w:val="7FB12AE8"/>
    <w:rsid w:val="7FBB354B"/>
    <w:rsid w:val="7FC5411C"/>
    <w:rsid w:val="7FD02C73"/>
    <w:rsid w:val="7FDF325F"/>
    <w:rsid w:val="7FE9081F"/>
    <w:rsid w:val="7FEF3499"/>
    <w:rsid w:val="7FF05869"/>
    <w:rsid w:val="7FF3635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overflowPunct w:val="0"/>
      <w:spacing w:line="480" w:lineRule="auto"/>
      <w:jc w:val="left"/>
      <w:outlineLvl w:val="0"/>
    </w:pPr>
    <w:rPr>
      <w:rFonts w:ascii="宋体" w:hAnsi="宋体" w:cs="宋体"/>
      <w:b/>
      <w:bCs/>
      <w:kern w:val="0"/>
      <w:szCs w:val="21"/>
    </w:rPr>
  </w:style>
  <w:style w:type="paragraph" w:styleId="3">
    <w:name w:val="heading 2"/>
    <w:basedOn w:val="1"/>
    <w:next w:val="1"/>
    <w:link w:val="40"/>
    <w:autoRedefine/>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link w:val="41"/>
    <w:autoRedefine/>
    <w:qFormat/>
    <w:uiPriority w:val="0"/>
    <w:pPr>
      <w:keepNext/>
      <w:keepLines/>
      <w:spacing w:before="260" w:after="260" w:line="416" w:lineRule="auto"/>
      <w:outlineLvl w:val="2"/>
    </w:pPr>
    <w:rPr>
      <w:b/>
      <w:bCs/>
      <w:sz w:val="32"/>
      <w:szCs w:val="32"/>
    </w:rPr>
  </w:style>
  <w:style w:type="paragraph" w:styleId="5">
    <w:name w:val="heading 4"/>
    <w:basedOn w:val="1"/>
    <w:next w:val="1"/>
    <w:autoRedefine/>
    <w:qFormat/>
    <w:uiPriority w:val="9"/>
    <w:pPr>
      <w:keepNext/>
      <w:keepLines/>
      <w:numPr>
        <w:ilvl w:val="3"/>
        <w:numId w:val="1"/>
      </w:numPr>
      <w:spacing w:before="280" w:after="156" w:line="376" w:lineRule="auto"/>
      <w:ind w:firstLine="0"/>
      <w:outlineLvl w:val="3"/>
    </w:pPr>
    <w:rPr>
      <w:rFonts w:ascii="Cambria" w:hAnsi="Cambria" w:eastAsia="宋体" w:cs="Times New Roman"/>
      <w:b/>
      <w:bCs/>
      <w:szCs w:val="28"/>
    </w:rPr>
  </w:style>
  <w:style w:type="character" w:default="1" w:styleId="29">
    <w:name w:val="Default Paragraph Font"/>
    <w:autoRedefine/>
    <w:semiHidden/>
    <w:qFormat/>
    <w:uiPriority w:val="0"/>
  </w:style>
  <w:style w:type="table" w:default="1" w:styleId="27">
    <w:name w:val="Normal Table"/>
    <w:autoRedefine/>
    <w:semiHidden/>
    <w:qFormat/>
    <w:uiPriority w:val="0"/>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styleId="6">
    <w:name w:val="Normal Indent"/>
    <w:basedOn w:val="1"/>
    <w:next w:val="1"/>
    <w:link w:val="42"/>
    <w:autoRedefine/>
    <w:qFormat/>
    <w:uiPriority w:val="0"/>
    <w:pPr>
      <w:adjustRightInd w:val="0"/>
      <w:ind w:firstLine="420"/>
      <w:jc w:val="left"/>
      <w:textAlignment w:val="baseline"/>
    </w:pPr>
    <w:rPr>
      <w:rFonts w:eastAsia="楷体_GB2312"/>
      <w:sz w:val="24"/>
      <w:szCs w:val="20"/>
    </w:rPr>
  </w:style>
  <w:style w:type="paragraph" w:styleId="7">
    <w:name w:val="annotation text"/>
    <w:basedOn w:val="1"/>
    <w:link w:val="43"/>
    <w:autoRedefine/>
    <w:qFormat/>
    <w:uiPriority w:val="0"/>
    <w:pPr>
      <w:jc w:val="left"/>
    </w:pPr>
  </w:style>
  <w:style w:type="paragraph" w:styleId="8">
    <w:name w:val="Body Text"/>
    <w:basedOn w:val="1"/>
    <w:next w:val="1"/>
    <w:link w:val="44"/>
    <w:autoRedefine/>
    <w:qFormat/>
    <w:uiPriority w:val="0"/>
    <w:pPr>
      <w:tabs>
        <w:tab w:val="left" w:pos="5250"/>
      </w:tabs>
    </w:pPr>
    <w:rPr>
      <w:sz w:val="28"/>
    </w:rPr>
  </w:style>
  <w:style w:type="paragraph" w:styleId="9">
    <w:name w:val="Body Text Indent"/>
    <w:basedOn w:val="1"/>
    <w:next w:val="10"/>
    <w:autoRedefine/>
    <w:qFormat/>
    <w:uiPriority w:val="99"/>
    <w:pPr>
      <w:spacing w:line="300" w:lineRule="auto"/>
      <w:ind w:firstLine="560" w:firstLineChars="200"/>
      <w:jc w:val="left"/>
    </w:pPr>
    <w:rPr>
      <w:sz w:val="28"/>
    </w:rPr>
  </w:style>
  <w:style w:type="paragraph" w:styleId="10">
    <w:name w:val="envelope return"/>
    <w:basedOn w:val="1"/>
    <w:autoRedefine/>
    <w:qFormat/>
    <w:uiPriority w:val="0"/>
    <w:pPr>
      <w:snapToGrid w:val="0"/>
    </w:pPr>
    <w:rPr>
      <w:rFonts w:ascii="Arial" w:hAnsi="Arial"/>
    </w:rPr>
  </w:style>
  <w:style w:type="paragraph" w:styleId="11">
    <w:name w:val="Block Text"/>
    <w:basedOn w:val="2"/>
    <w:next w:val="1"/>
    <w:autoRedefine/>
    <w:qFormat/>
    <w:uiPriority w:val="0"/>
    <w:pPr>
      <w:adjustRightInd w:val="0"/>
      <w:spacing w:line="360" w:lineRule="auto"/>
      <w:ind w:left="630" w:right="-609" w:firstLine="420"/>
    </w:pPr>
    <w:rPr>
      <w:rFonts w:hint="eastAsia" w:ascii="仿宋_GB2312" w:eastAsia="仿宋_GB2312"/>
      <w:kern w:val="0"/>
      <w:szCs w:val="20"/>
    </w:rPr>
  </w:style>
  <w:style w:type="paragraph" w:styleId="12">
    <w:name w:val="toc 3"/>
    <w:basedOn w:val="1"/>
    <w:next w:val="1"/>
    <w:autoRedefine/>
    <w:unhideWhenUsed/>
    <w:qFormat/>
    <w:uiPriority w:val="39"/>
    <w:pPr>
      <w:widowControl/>
      <w:spacing w:after="100" w:line="259" w:lineRule="auto"/>
      <w:ind w:left="440"/>
      <w:jc w:val="left"/>
    </w:pPr>
    <w:rPr>
      <w:rFonts w:ascii="等线" w:hAnsi="等线" w:eastAsia="等线"/>
      <w:kern w:val="0"/>
      <w:sz w:val="22"/>
      <w:szCs w:val="22"/>
    </w:rPr>
  </w:style>
  <w:style w:type="paragraph" w:styleId="13">
    <w:name w:val="Plain Text"/>
    <w:basedOn w:val="1"/>
    <w:link w:val="45"/>
    <w:autoRedefine/>
    <w:qFormat/>
    <w:uiPriority w:val="99"/>
    <w:rPr>
      <w:rFonts w:ascii="宋体" w:hAnsi="Courier New"/>
      <w:szCs w:val="20"/>
    </w:rPr>
  </w:style>
  <w:style w:type="paragraph" w:styleId="14">
    <w:name w:val="Date"/>
    <w:basedOn w:val="1"/>
    <w:next w:val="1"/>
    <w:link w:val="46"/>
    <w:autoRedefine/>
    <w:qFormat/>
    <w:uiPriority w:val="99"/>
    <w:rPr>
      <w:rFonts w:ascii="宋体" w:hAnsi="宋体"/>
      <w:sz w:val="24"/>
    </w:rPr>
  </w:style>
  <w:style w:type="paragraph" w:styleId="15">
    <w:name w:val="Balloon Text"/>
    <w:basedOn w:val="1"/>
    <w:link w:val="47"/>
    <w:autoRedefine/>
    <w:qFormat/>
    <w:uiPriority w:val="0"/>
    <w:rPr>
      <w:sz w:val="18"/>
      <w:szCs w:val="18"/>
    </w:rPr>
  </w:style>
  <w:style w:type="paragraph" w:styleId="16">
    <w:name w:val="footer"/>
    <w:basedOn w:val="1"/>
    <w:link w:val="48"/>
    <w:autoRedefine/>
    <w:qFormat/>
    <w:uiPriority w:val="99"/>
    <w:pPr>
      <w:tabs>
        <w:tab w:val="center" w:pos="4153"/>
        <w:tab w:val="right" w:pos="8306"/>
      </w:tabs>
      <w:snapToGrid w:val="0"/>
      <w:jc w:val="left"/>
    </w:pPr>
    <w:rPr>
      <w:sz w:val="18"/>
      <w:szCs w:val="18"/>
    </w:rPr>
  </w:style>
  <w:style w:type="paragraph" w:styleId="17">
    <w:name w:val="header"/>
    <w:basedOn w:val="1"/>
    <w:link w:val="49"/>
    <w:autoRedefine/>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autoRedefine/>
    <w:qFormat/>
    <w:uiPriority w:val="39"/>
  </w:style>
  <w:style w:type="paragraph" w:styleId="19">
    <w:name w:val="footnote text"/>
    <w:basedOn w:val="2"/>
    <w:next w:val="11"/>
    <w:autoRedefine/>
    <w:qFormat/>
    <w:uiPriority w:val="0"/>
    <w:pPr>
      <w:spacing w:before="0" w:after="0" w:line="360" w:lineRule="auto"/>
      <w:ind w:left="0" w:firstLine="3584"/>
    </w:pPr>
  </w:style>
  <w:style w:type="paragraph" w:styleId="20">
    <w:name w:val="Body Text Indent 3"/>
    <w:basedOn w:val="1"/>
    <w:link w:val="50"/>
    <w:autoRedefine/>
    <w:qFormat/>
    <w:uiPriority w:val="0"/>
    <w:pPr>
      <w:widowControl/>
      <w:spacing w:line="360" w:lineRule="auto"/>
      <w:ind w:firstLine="480" w:firstLineChars="200"/>
    </w:pPr>
    <w:rPr>
      <w:kern w:val="0"/>
      <w:sz w:val="24"/>
    </w:rPr>
  </w:style>
  <w:style w:type="paragraph" w:styleId="21">
    <w:name w:val="toc 2"/>
    <w:basedOn w:val="1"/>
    <w:next w:val="1"/>
    <w:autoRedefine/>
    <w:unhideWhenUsed/>
    <w:qFormat/>
    <w:uiPriority w:val="39"/>
    <w:pPr>
      <w:widowControl/>
      <w:spacing w:after="100" w:line="259" w:lineRule="auto"/>
      <w:ind w:left="220"/>
      <w:jc w:val="left"/>
    </w:pPr>
    <w:rPr>
      <w:rFonts w:ascii="等线" w:hAnsi="等线" w:eastAsia="等线"/>
      <w:kern w:val="0"/>
      <w:sz w:val="22"/>
      <w:szCs w:val="22"/>
    </w:rPr>
  </w:style>
  <w:style w:type="paragraph" w:styleId="22">
    <w:name w:val="Normal (Web)"/>
    <w:basedOn w:val="1"/>
    <w:autoRedefine/>
    <w:qFormat/>
    <w:uiPriority w:val="0"/>
    <w:pPr>
      <w:widowControl/>
      <w:jc w:val="left"/>
    </w:pPr>
    <w:rPr>
      <w:kern w:val="0"/>
      <w:sz w:val="24"/>
    </w:rPr>
  </w:style>
  <w:style w:type="paragraph" w:styleId="23">
    <w:name w:val="Title"/>
    <w:basedOn w:val="1"/>
    <w:next w:val="1"/>
    <w:link w:val="51"/>
    <w:autoRedefine/>
    <w:qFormat/>
    <w:uiPriority w:val="0"/>
    <w:pPr>
      <w:tabs>
        <w:tab w:val="left" w:pos="315"/>
        <w:tab w:val="left" w:pos="720"/>
        <w:tab w:val="center" w:pos="4153"/>
      </w:tabs>
      <w:spacing w:line="360" w:lineRule="auto"/>
      <w:jc w:val="center"/>
    </w:pPr>
    <w:rPr>
      <w:rFonts w:ascii="宋体" w:hAnsi="宋体"/>
      <w:b/>
      <w:color w:val="000000"/>
      <w:sz w:val="32"/>
      <w:szCs w:val="32"/>
    </w:rPr>
  </w:style>
  <w:style w:type="paragraph" w:styleId="24">
    <w:name w:val="annotation subject"/>
    <w:basedOn w:val="7"/>
    <w:next w:val="7"/>
    <w:link w:val="52"/>
    <w:autoRedefine/>
    <w:qFormat/>
    <w:uiPriority w:val="0"/>
    <w:rPr>
      <w:b/>
      <w:bCs/>
    </w:rPr>
  </w:style>
  <w:style w:type="paragraph" w:styleId="25">
    <w:name w:val="Body Text First Indent"/>
    <w:basedOn w:val="8"/>
    <w:autoRedefine/>
    <w:qFormat/>
    <w:uiPriority w:val="0"/>
    <w:pPr>
      <w:ind w:firstLine="420" w:firstLineChars="100"/>
    </w:pPr>
  </w:style>
  <w:style w:type="paragraph" w:styleId="26">
    <w:name w:val="Body Text First Indent 2"/>
    <w:autoRedefine/>
    <w:unhideWhenUsed/>
    <w:qFormat/>
    <w:uiPriority w:val="99"/>
    <w:pPr>
      <w:widowControl w:val="0"/>
      <w:spacing w:after="120"/>
      <w:ind w:left="420" w:firstLine="420"/>
      <w:jc w:val="both"/>
    </w:pPr>
    <w:rPr>
      <w:rFonts w:hint="default" w:ascii="Calibri" w:hAnsi="Calibri" w:eastAsia="宋体" w:cs="Times New Roman"/>
      <w:sz w:val="21"/>
    </w:rPr>
  </w:style>
  <w:style w:type="table" w:styleId="28">
    <w:name w:val="Table Grid"/>
    <w:basedOn w:val="27"/>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rPr>
  </w:style>
  <w:style w:type="character" w:styleId="31">
    <w:name w:val="page number"/>
    <w:autoRedefine/>
    <w:qFormat/>
    <w:uiPriority w:val="0"/>
    <w:rPr>
      <w:rFonts w:ascii="Times New Roman" w:hAnsi="Times New Roman" w:eastAsia="宋体" w:cs="Times New Roman"/>
    </w:rPr>
  </w:style>
  <w:style w:type="character" w:styleId="32">
    <w:name w:val="FollowedHyperlink"/>
    <w:autoRedefine/>
    <w:qFormat/>
    <w:uiPriority w:val="0"/>
    <w:rPr>
      <w:color w:val="333333"/>
      <w:u w:val="none"/>
    </w:rPr>
  </w:style>
  <w:style w:type="character" w:styleId="33">
    <w:name w:val="Emphasis"/>
    <w:autoRedefine/>
    <w:qFormat/>
    <w:uiPriority w:val="0"/>
  </w:style>
  <w:style w:type="character" w:styleId="34">
    <w:name w:val="Hyperlink"/>
    <w:autoRedefine/>
    <w:unhideWhenUsed/>
    <w:qFormat/>
    <w:uiPriority w:val="99"/>
    <w:rPr>
      <w:color w:val="0563C1"/>
      <w:u w:val="single"/>
    </w:rPr>
  </w:style>
  <w:style w:type="character" w:styleId="35">
    <w:name w:val="annotation reference"/>
    <w:autoRedefine/>
    <w:qFormat/>
    <w:uiPriority w:val="0"/>
    <w:rPr>
      <w:sz w:val="21"/>
      <w:szCs w:val="21"/>
    </w:rPr>
  </w:style>
  <w:style w:type="character" w:styleId="36">
    <w:name w:val="footnote reference"/>
    <w:autoRedefine/>
    <w:unhideWhenUsed/>
    <w:qFormat/>
    <w:uiPriority w:val="0"/>
    <w:rPr>
      <w:vertAlign w:val="superscript"/>
    </w:rPr>
  </w:style>
  <w:style w:type="paragraph" w:customStyle="1" w:styleId="37">
    <w:name w:val="段"/>
    <w:next w:val="1"/>
    <w:autoRedefine/>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38">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9">
    <w:name w:val="首行缩进"/>
    <w:basedOn w:val="1"/>
    <w:autoRedefine/>
    <w:qFormat/>
    <w:uiPriority w:val="0"/>
    <w:pPr>
      <w:widowControl/>
      <w:ind w:firstLine="480" w:firstLineChars="200"/>
      <w:jc w:val="left"/>
    </w:pPr>
    <w:rPr>
      <w:kern w:val="0"/>
      <w:sz w:val="24"/>
      <w:szCs w:val="20"/>
      <w:lang w:val="zh-CN"/>
    </w:rPr>
  </w:style>
  <w:style w:type="character" w:customStyle="1" w:styleId="40">
    <w:name w:val="标题 2 Char"/>
    <w:link w:val="3"/>
    <w:autoRedefine/>
    <w:qFormat/>
    <w:uiPriority w:val="0"/>
    <w:rPr>
      <w:rFonts w:ascii="Arial" w:hAnsi="Arial" w:eastAsia="黑体" w:cs="Arial"/>
      <w:b/>
      <w:bCs/>
      <w:kern w:val="2"/>
      <w:sz w:val="32"/>
      <w:szCs w:val="32"/>
    </w:rPr>
  </w:style>
  <w:style w:type="character" w:customStyle="1" w:styleId="41">
    <w:name w:val="标题 3 Char"/>
    <w:link w:val="4"/>
    <w:autoRedefine/>
    <w:semiHidden/>
    <w:qFormat/>
    <w:uiPriority w:val="0"/>
    <w:rPr>
      <w:b/>
      <w:bCs/>
      <w:kern w:val="2"/>
      <w:sz w:val="32"/>
      <w:szCs w:val="32"/>
    </w:rPr>
  </w:style>
  <w:style w:type="character" w:customStyle="1" w:styleId="42">
    <w:name w:val="正文缩进 Char1"/>
    <w:link w:val="6"/>
    <w:autoRedefine/>
    <w:qFormat/>
    <w:uiPriority w:val="0"/>
    <w:rPr>
      <w:rFonts w:eastAsia="楷体_GB2312"/>
      <w:kern w:val="2"/>
      <w:sz w:val="24"/>
      <w:lang w:bidi="ar-SA"/>
    </w:rPr>
  </w:style>
  <w:style w:type="character" w:customStyle="1" w:styleId="43">
    <w:name w:val="批注文字 Char"/>
    <w:link w:val="7"/>
    <w:autoRedefine/>
    <w:qFormat/>
    <w:uiPriority w:val="0"/>
    <w:rPr>
      <w:kern w:val="2"/>
      <w:sz w:val="21"/>
      <w:szCs w:val="24"/>
    </w:rPr>
  </w:style>
  <w:style w:type="character" w:customStyle="1" w:styleId="44">
    <w:name w:val="正文文本 Char"/>
    <w:link w:val="8"/>
    <w:autoRedefine/>
    <w:qFormat/>
    <w:uiPriority w:val="0"/>
    <w:rPr>
      <w:kern w:val="2"/>
      <w:sz w:val="28"/>
      <w:szCs w:val="24"/>
    </w:rPr>
  </w:style>
  <w:style w:type="character" w:customStyle="1" w:styleId="45">
    <w:name w:val="纯文本 Char"/>
    <w:link w:val="13"/>
    <w:autoRedefine/>
    <w:qFormat/>
    <w:uiPriority w:val="99"/>
    <w:rPr>
      <w:rFonts w:ascii="宋体" w:hAnsi="Courier New"/>
      <w:kern w:val="2"/>
      <w:sz w:val="21"/>
    </w:rPr>
  </w:style>
  <w:style w:type="character" w:customStyle="1" w:styleId="46">
    <w:name w:val="日期 Char"/>
    <w:link w:val="14"/>
    <w:autoRedefine/>
    <w:qFormat/>
    <w:uiPriority w:val="99"/>
    <w:rPr>
      <w:rFonts w:ascii="宋体" w:hAnsi="宋体"/>
      <w:kern w:val="2"/>
      <w:sz w:val="24"/>
      <w:szCs w:val="24"/>
    </w:rPr>
  </w:style>
  <w:style w:type="character" w:customStyle="1" w:styleId="47">
    <w:name w:val="批注框文本 Char"/>
    <w:basedOn w:val="29"/>
    <w:link w:val="15"/>
    <w:autoRedefine/>
    <w:qFormat/>
    <w:uiPriority w:val="0"/>
    <w:rPr>
      <w:kern w:val="2"/>
      <w:sz w:val="18"/>
      <w:szCs w:val="18"/>
    </w:rPr>
  </w:style>
  <w:style w:type="character" w:customStyle="1" w:styleId="48">
    <w:name w:val="页脚 Char"/>
    <w:link w:val="16"/>
    <w:autoRedefine/>
    <w:qFormat/>
    <w:uiPriority w:val="99"/>
    <w:rPr>
      <w:kern w:val="2"/>
      <w:sz w:val="18"/>
      <w:szCs w:val="18"/>
    </w:rPr>
  </w:style>
  <w:style w:type="character" w:customStyle="1" w:styleId="49">
    <w:name w:val="页眉 Char"/>
    <w:link w:val="17"/>
    <w:autoRedefine/>
    <w:qFormat/>
    <w:uiPriority w:val="99"/>
    <w:rPr>
      <w:kern w:val="2"/>
      <w:sz w:val="18"/>
      <w:szCs w:val="18"/>
    </w:rPr>
  </w:style>
  <w:style w:type="character" w:customStyle="1" w:styleId="50">
    <w:name w:val="正文文本缩进 3 Char"/>
    <w:basedOn w:val="29"/>
    <w:link w:val="20"/>
    <w:autoRedefine/>
    <w:qFormat/>
    <w:uiPriority w:val="0"/>
    <w:rPr>
      <w:sz w:val="24"/>
      <w:szCs w:val="24"/>
    </w:rPr>
  </w:style>
  <w:style w:type="character" w:customStyle="1" w:styleId="51">
    <w:name w:val="标题 Char"/>
    <w:link w:val="23"/>
    <w:autoRedefine/>
    <w:qFormat/>
    <w:uiPriority w:val="0"/>
    <w:rPr>
      <w:rFonts w:ascii="宋体" w:hAnsi="宋体"/>
      <w:b/>
      <w:color w:val="000000"/>
      <w:kern w:val="2"/>
      <w:sz w:val="32"/>
      <w:szCs w:val="32"/>
    </w:rPr>
  </w:style>
  <w:style w:type="character" w:customStyle="1" w:styleId="52">
    <w:name w:val="批注主题 Char"/>
    <w:link w:val="24"/>
    <w:autoRedefine/>
    <w:qFormat/>
    <w:uiPriority w:val="0"/>
    <w:rPr>
      <w:b/>
      <w:bCs/>
      <w:kern w:val="2"/>
      <w:sz w:val="21"/>
      <w:szCs w:val="24"/>
    </w:rPr>
  </w:style>
  <w:style w:type="character" w:customStyle="1" w:styleId="53">
    <w:name w:val=" Char Char4"/>
    <w:autoRedefine/>
    <w:qFormat/>
    <w:uiPriority w:val="0"/>
    <w:rPr>
      <w:kern w:val="2"/>
      <w:sz w:val="18"/>
      <w:szCs w:val="18"/>
      <w:lang w:bidi="ar-SA"/>
    </w:rPr>
  </w:style>
  <w:style w:type="character" w:customStyle="1" w:styleId="54">
    <w:name w:val="标题 Char1"/>
    <w:autoRedefine/>
    <w:qFormat/>
    <w:uiPriority w:val="0"/>
    <w:rPr>
      <w:rFonts w:ascii="Cambria" w:hAnsi="Cambria" w:cs="Times New Roman"/>
      <w:b/>
      <w:bCs/>
      <w:kern w:val="2"/>
      <w:sz w:val="32"/>
      <w:szCs w:val="32"/>
    </w:rPr>
  </w:style>
  <w:style w:type="character" w:customStyle="1" w:styleId="55">
    <w:name w:val="font01"/>
    <w:autoRedefine/>
    <w:qFormat/>
    <w:uiPriority w:val="0"/>
    <w:rPr>
      <w:rFonts w:hint="default" w:ascii="Times New Roman" w:hAnsi="Times New Roman" w:eastAsia="宋体" w:cs="Times New Roman"/>
      <w:color w:val="000000"/>
      <w:sz w:val="24"/>
      <w:szCs w:val="24"/>
      <w:u w:val="none"/>
    </w:rPr>
  </w:style>
  <w:style w:type="character" w:customStyle="1" w:styleId="56">
    <w:name w:val="Header or footer|1_"/>
    <w:basedOn w:val="29"/>
    <w:link w:val="57"/>
    <w:autoRedefine/>
    <w:qFormat/>
    <w:uiPriority w:val="0"/>
    <w:rPr>
      <w:sz w:val="17"/>
      <w:szCs w:val="17"/>
    </w:rPr>
  </w:style>
  <w:style w:type="paragraph" w:customStyle="1" w:styleId="57">
    <w:name w:val="Header or footer|1"/>
    <w:basedOn w:val="1"/>
    <w:link w:val="56"/>
    <w:autoRedefine/>
    <w:qFormat/>
    <w:uiPriority w:val="0"/>
    <w:pPr>
      <w:jc w:val="left"/>
    </w:pPr>
    <w:rPr>
      <w:kern w:val="0"/>
      <w:sz w:val="17"/>
      <w:szCs w:val="17"/>
    </w:rPr>
  </w:style>
  <w:style w:type="character" w:customStyle="1" w:styleId="58">
    <w:name w:val="Heading #4|1_"/>
    <w:basedOn w:val="29"/>
    <w:link w:val="59"/>
    <w:autoRedefine/>
    <w:qFormat/>
    <w:uiPriority w:val="0"/>
    <w:rPr>
      <w:rFonts w:ascii="宋体" w:hAnsi="宋体" w:eastAsia="宋体" w:cs="宋体"/>
      <w:b/>
      <w:bCs/>
      <w:sz w:val="22"/>
      <w:szCs w:val="22"/>
      <w:lang w:val="zh-TW" w:eastAsia="zh-TW" w:bidi="zh-TW"/>
    </w:rPr>
  </w:style>
  <w:style w:type="paragraph" w:customStyle="1" w:styleId="59">
    <w:name w:val="Heading #4|1"/>
    <w:basedOn w:val="1"/>
    <w:link w:val="58"/>
    <w:autoRedefine/>
    <w:qFormat/>
    <w:uiPriority w:val="0"/>
    <w:pPr>
      <w:spacing w:line="469" w:lineRule="exact"/>
      <w:ind w:firstLine="340"/>
      <w:jc w:val="left"/>
      <w:outlineLvl w:val="3"/>
    </w:pPr>
    <w:rPr>
      <w:rFonts w:ascii="宋体" w:hAnsi="宋体" w:eastAsia="宋体" w:cs="宋体"/>
      <w:b/>
      <w:bCs/>
      <w:kern w:val="0"/>
      <w:sz w:val="22"/>
      <w:szCs w:val="22"/>
      <w:lang w:val="zh-TW" w:eastAsia="zh-TW" w:bidi="zh-TW"/>
    </w:rPr>
  </w:style>
  <w:style w:type="character" w:customStyle="1" w:styleId="60">
    <w:name w:val="font31"/>
    <w:autoRedefine/>
    <w:qFormat/>
    <w:uiPriority w:val="0"/>
    <w:rPr>
      <w:rFonts w:hint="eastAsia" w:ascii="宋体" w:hAnsi="宋体" w:eastAsia="宋体" w:cs="宋体"/>
      <w:color w:val="FF0000"/>
      <w:sz w:val="24"/>
      <w:szCs w:val="24"/>
      <w:u w:val="none"/>
    </w:rPr>
  </w:style>
  <w:style w:type="character" w:customStyle="1" w:styleId="61">
    <w:name w:val="Other|1_"/>
    <w:basedOn w:val="29"/>
    <w:link w:val="62"/>
    <w:autoRedefine/>
    <w:qFormat/>
    <w:uiPriority w:val="0"/>
    <w:rPr>
      <w:rFonts w:ascii="宋体" w:hAnsi="宋体" w:eastAsia="宋体" w:cs="宋体"/>
      <w:sz w:val="22"/>
      <w:szCs w:val="22"/>
      <w:lang w:val="zh-TW" w:eastAsia="zh-TW" w:bidi="zh-TW"/>
    </w:rPr>
  </w:style>
  <w:style w:type="paragraph" w:customStyle="1" w:styleId="62">
    <w:name w:val="Other|1"/>
    <w:basedOn w:val="1"/>
    <w:link w:val="61"/>
    <w:autoRedefine/>
    <w:qFormat/>
    <w:uiPriority w:val="0"/>
    <w:pPr>
      <w:spacing w:line="309" w:lineRule="exact"/>
      <w:jc w:val="left"/>
    </w:pPr>
    <w:rPr>
      <w:rFonts w:ascii="宋体" w:hAnsi="宋体" w:eastAsia="宋体" w:cs="宋体"/>
      <w:kern w:val="0"/>
      <w:sz w:val="22"/>
      <w:szCs w:val="22"/>
      <w:lang w:val="zh-TW" w:eastAsia="zh-TW" w:bidi="zh-TW"/>
    </w:rPr>
  </w:style>
  <w:style w:type="character" w:customStyle="1" w:styleId="63">
    <w:name w:val="列出段落 Char"/>
    <w:link w:val="64"/>
    <w:autoRedefine/>
    <w:qFormat/>
    <w:locked/>
    <w:uiPriority w:val="0"/>
    <w:rPr>
      <w:rFonts w:ascii="Calibri" w:hAnsi="Calibri" w:eastAsia="宋体"/>
      <w:kern w:val="2"/>
      <w:sz w:val="22"/>
      <w:lang w:bidi="ar-SA"/>
    </w:rPr>
  </w:style>
  <w:style w:type="paragraph" w:customStyle="1" w:styleId="64">
    <w:name w:val="列出段落1"/>
    <w:basedOn w:val="1"/>
    <w:link w:val="63"/>
    <w:autoRedefine/>
    <w:qFormat/>
    <w:uiPriority w:val="0"/>
    <w:pPr>
      <w:spacing w:line="360" w:lineRule="auto"/>
      <w:ind w:firstLine="200" w:firstLineChars="200"/>
    </w:pPr>
    <w:rPr>
      <w:rFonts w:ascii="Calibri" w:hAnsi="Calibri"/>
      <w:sz w:val="22"/>
      <w:szCs w:val="20"/>
    </w:rPr>
  </w:style>
  <w:style w:type="character" w:customStyle="1" w:styleId="65">
    <w:name w:val="样式 正文缩进表正文正文非缩进特点段1正文不缩进ALT+Z特点标题四号正文（段落文字）Justifiedp...1 Char"/>
    <w:autoRedefine/>
    <w:qFormat/>
    <w:uiPriority w:val="0"/>
    <w:rPr>
      <w:rFonts w:ascii="仿宋_GB2312" w:hAnsi="仿宋_GB2312" w:eastAsia="仿宋_GB2312"/>
      <w:color w:val="000000"/>
      <w:kern w:val="2"/>
      <w:sz w:val="24"/>
      <w:lang w:val="en-US" w:eastAsia="zh-CN"/>
    </w:rPr>
  </w:style>
  <w:style w:type="character" w:customStyle="1" w:styleId="66">
    <w:name w:val="Plain Text Char"/>
    <w:link w:val="67"/>
    <w:autoRedefine/>
    <w:qFormat/>
    <w:uiPriority w:val="0"/>
    <w:rPr>
      <w:rFonts w:ascii="宋体" w:hAnsi="Courier New" w:eastAsia="楷体_GB2312"/>
      <w:kern w:val="2"/>
      <w:sz w:val="28"/>
    </w:rPr>
  </w:style>
  <w:style w:type="paragraph" w:customStyle="1" w:styleId="67">
    <w:name w:val="Plain Text"/>
    <w:basedOn w:val="1"/>
    <w:link w:val="66"/>
    <w:autoRedefine/>
    <w:qFormat/>
    <w:uiPriority w:val="0"/>
    <w:pPr>
      <w:adjustRightInd w:val="0"/>
      <w:textAlignment w:val="baseline"/>
    </w:pPr>
    <w:rPr>
      <w:rFonts w:ascii="宋体" w:hAnsi="Courier New" w:eastAsia="楷体_GB2312"/>
      <w:sz w:val="28"/>
      <w:szCs w:val="20"/>
    </w:rPr>
  </w:style>
  <w:style w:type="character" w:customStyle="1" w:styleId="68">
    <w:name w:val="font21"/>
    <w:autoRedefine/>
    <w:qFormat/>
    <w:uiPriority w:val="0"/>
    <w:rPr>
      <w:rFonts w:hint="default" w:ascii="Times New Roman" w:hAnsi="Times New Roman" w:cs="Times New Roman"/>
      <w:color w:val="FF0000"/>
      <w:sz w:val="24"/>
      <w:szCs w:val="24"/>
      <w:u w:val="none"/>
    </w:rPr>
  </w:style>
  <w:style w:type="character" w:customStyle="1" w:styleId="69">
    <w:name w:val="正文缩进 Char"/>
    <w:autoRedefine/>
    <w:qFormat/>
    <w:uiPriority w:val="0"/>
    <w:rPr>
      <w:rFonts w:eastAsia="楷体_GB2312"/>
      <w:kern w:val="2"/>
      <w:sz w:val="24"/>
      <w:lang w:val="en-US" w:eastAsia="zh-CN" w:bidi="ar-SA"/>
    </w:rPr>
  </w:style>
  <w:style w:type="character" w:customStyle="1" w:styleId="70">
    <w:name w:val="NormalCharacter"/>
    <w:autoRedefine/>
    <w:qFormat/>
    <w:uiPriority w:val="99"/>
    <w:rPr>
      <w:rFonts w:ascii="Calibri" w:hAnsi="Calibri" w:eastAsia="宋体"/>
    </w:rPr>
  </w:style>
  <w:style w:type="character" w:customStyle="1" w:styleId="71">
    <w:name w:val="Body text|1_"/>
    <w:basedOn w:val="29"/>
    <w:link w:val="72"/>
    <w:autoRedefine/>
    <w:qFormat/>
    <w:uiPriority w:val="0"/>
    <w:rPr>
      <w:rFonts w:ascii="宋体" w:hAnsi="宋体" w:eastAsia="宋体" w:cs="宋体"/>
      <w:sz w:val="22"/>
      <w:szCs w:val="22"/>
      <w:lang w:val="zh-TW" w:eastAsia="zh-TW" w:bidi="zh-TW"/>
    </w:rPr>
  </w:style>
  <w:style w:type="paragraph" w:customStyle="1" w:styleId="72">
    <w:name w:val="Body text|1"/>
    <w:basedOn w:val="1"/>
    <w:link w:val="71"/>
    <w:autoRedefine/>
    <w:qFormat/>
    <w:uiPriority w:val="0"/>
    <w:pPr>
      <w:spacing w:line="425" w:lineRule="auto"/>
      <w:ind w:firstLine="400"/>
      <w:jc w:val="left"/>
    </w:pPr>
    <w:rPr>
      <w:rFonts w:ascii="宋体" w:hAnsi="宋体" w:eastAsia="宋体" w:cs="宋体"/>
      <w:kern w:val="0"/>
      <w:sz w:val="22"/>
      <w:szCs w:val="22"/>
      <w:lang w:val="zh-TW" w:eastAsia="zh-TW" w:bidi="zh-TW"/>
    </w:rPr>
  </w:style>
  <w:style w:type="paragraph" w:styleId="73">
    <w:name w:val="List Paragraph"/>
    <w:basedOn w:val="1"/>
    <w:autoRedefine/>
    <w:qFormat/>
    <w:uiPriority w:val="34"/>
    <w:pPr>
      <w:ind w:firstLine="420" w:firstLineChars="200"/>
    </w:pPr>
    <w:rPr>
      <w:rFonts w:ascii="Calibri" w:hAnsi="Calibri"/>
      <w:szCs w:val="20"/>
    </w:rPr>
  </w:style>
  <w:style w:type="paragraph" w:customStyle="1" w:styleId="74">
    <w:name w:val="正文 A"/>
    <w:autoRedefine/>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kern w:val="2"/>
      <w:sz w:val="21"/>
      <w:szCs w:val="21"/>
      <w:u w:val="none" w:color="000000"/>
      <w:lang w:val="en-US" w:eastAsia="zh-CN" w:bidi="ar-SA"/>
    </w:rPr>
  </w:style>
  <w:style w:type="paragraph" w:customStyle="1" w:styleId="75">
    <w:name w:val="WPSOffice手动目录 1"/>
    <w:autoRedefine/>
    <w:qFormat/>
    <w:uiPriority w:val="0"/>
    <w:rPr>
      <w:rFonts w:ascii="Times New Roman" w:hAnsi="Times New Roman" w:eastAsia="宋体" w:cs="Times New Roman"/>
      <w:lang w:val="en-US" w:eastAsia="zh-CN" w:bidi="ar-SA"/>
    </w:rPr>
  </w:style>
  <w:style w:type="paragraph" w:customStyle="1" w:styleId="76">
    <w:name w:val="标题3"/>
    <w:basedOn w:val="1"/>
    <w:autoRedefine/>
    <w:qFormat/>
    <w:uiPriority w:val="0"/>
    <w:pPr>
      <w:spacing w:beforeLines="25" w:afterLines="25" w:line="300" w:lineRule="auto"/>
    </w:pPr>
    <w:rPr>
      <w:rFonts w:ascii="宋体" w:hAnsi="宋体"/>
      <w:b/>
      <w:sz w:val="28"/>
    </w:rPr>
  </w:style>
  <w:style w:type="paragraph" w:customStyle="1" w:styleId="77">
    <w:name w:val="纯文本1"/>
    <w:basedOn w:val="1"/>
    <w:autoRedefine/>
    <w:qFormat/>
    <w:uiPriority w:val="0"/>
    <w:pPr>
      <w:adjustRightInd w:val="0"/>
    </w:pPr>
    <w:rPr>
      <w:rFonts w:ascii="宋体" w:hAnsi="Courier New" w:eastAsia="楷体_GB2312"/>
      <w:kern w:val="0"/>
      <w:sz w:val="26"/>
    </w:rPr>
  </w:style>
  <w:style w:type="paragraph" w:customStyle="1" w:styleId="78">
    <w:name w:val="p0"/>
    <w:basedOn w:val="1"/>
    <w:autoRedefine/>
    <w:qFormat/>
    <w:uiPriority w:val="0"/>
    <w:pPr>
      <w:widowControl/>
    </w:pPr>
    <w:rPr>
      <w:kern w:val="0"/>
      <w:sz w:val="26"/>
      <w:szCs w:val="26"/>
    </w:rPr>
  </w:style>
  <w:style w:type="paragraph" w:customStyle="1" w:styleId="79">
    <w:name w:val="_Style 77"/>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80">
    <w:name w:val="纯文本2"/>
    <w:basedOn w:val="1"/>
    <w:autoRedefine/>
    <w:qFormat/>
    <w:uiPriority w:val="0"/>
    <w:pPr>
      <w:adjustRightInd w:val="0"/>
      <w:textAlignment w:val="baseline"/>
    </w:pPr>
    <w:rPr>
      <w:rFonts w:ascii="宋体" w:hAnsi="Courier New"/>
      <w:sz w:val="26"/>
      <w:szCs w:val="20"/>
    </w:rPr>
  </w:style>
  <w:style w:type="paragraph" w:customStyle="1" w:styleId="81">
    <w:name w:val="_Style 30"/>
    <w:basedOn w:val="1"/>
    <w:next w:val="13"/>
    <w:autoRedefine/>
    <w:qFormat/>
    <w:uiPriority w:val="0"/>
    <w:rPr>
      <w:rFonts w:ascii="宋体" w:hAnsi="Courier New"/>
    </w:rPr>
  </w:style>
  <w:style w:type="paragraph" w:customStyle="1" w:styleId="82">
    <w:name w:val="纯文本21"/>
    <w:basedOn w:val="1"/>
    <w:autoRedefine/>
    <w:qFormat/>
    <w:uiPriority w:val="0"/>
    <w:pPr>
      <w:adjustRightInd w:val="0"/>
      <w:textAlignment w:val="baseline"/>
    </w:pPr>
    <w:rPr>
      <w:rFonts w:ascii="宋体" w:hAnsi="Courier New"/>
      <w:sz w:val="28"/>
    </w:rPr>
  </w:style>
  <w:style w:type="paragraph" w:customStyle="1" w:styleId="83">
    <w:name w:val="纯文本3"/>
    <w:basedOn w:val="1"/>
    <w:autoRedefine/>
    <w:qFormat/>
    <w:uiPriority w:val="0"/>
    <w:pPr>
      <w:adjustRightInd w:val="0"/>
      <w:textAlignment w:val="baseline"/>
    </w:pPr>
    <w:rPr>
      <w:rFonts w:ascii="宋体" w:hAnsi="Courier New"/>
    </w:rPr>
  </w:style>
  <w:style w:type="paragraph" w:customStyle="1" w:styleId="84">
    <w:name w:val="正文1"/>
    <w:basedOn w:val="1"/>
    <w:next w:val="1"/>
    <w:autoRedefine/>
    <w:qFormat/>
    <w:uiPriority w:val="0"/>
    <w:pPr>
      <w:spacing w:before="120" w:line="360" w:lineRule="auto"/>
      <w:ind w:left="420" w:firstLine="527"/>
    </w:pPr>
    <w:rPr>
      <w:rFonts w:ascii="宋体" w:hAnsi="宋体"/>
    </w:rPr>
  </w:style>
  <w:style w:type="paragraph" w:customStyle="1" w:styleId="85">
    <w:name w:val="列出段落11"/>
    <w:basedOn w:val="1"/>
    <w:autoRedefine/>
    <w:qFormat/>
    <w:uiPriority w:val="0"/>
    <w:pPr>
      <w:ind w:firstLine="420"/>
    </w:pPr>
    <w:rPr>
      <w:rFonts w:ascii="Calibri" w:hAnsi="Calibri"/>
    </w:rPr>
  </w:style>
  <w:style w:type="paragraph" w:customStyle="1" w:styleId="86">
    <w:name w:val="+正文"/>
    <w:basedOn w:val="1"/>
    <w:autoRedefine/>
    <w:qFormat/>
    <w:uiPriority w:val="0"/>
    <w:pPr>
      <w:spacing w:line="360" w:lineRule="auto"/>
      <w:ind w:firstLine="200" w:firstLineChars="200"/>
    </w:pPr>
    <w:rPr>
      <w:rFonts w:ascii="宋体" w:hAnsi="宋体"/>
      <w:sz w:val="24"/>
      <w:szCs w:val="28"/>
    </w:rPr>
  </w:style>
  <w:style w:type="paragraph" w:customStyle="1" w:styleId="87">
    <w:name w:val="List Paragraph1"/>
    <w:basedOn w:val="1"/>
    <w:autoRedefine/>
    <w:qFormat/>
    <w:uiPriority w:val="0"/>
    <w:pPr>
      <w:ind w:firstLine="420" w:firstLineChars="200"/>
    </w:pPr>
    <w:rPr>
      <w:rFonts w:ascii="Calibri" w:hAnsi="Calibri"/>
      <w:szCs w:val="22"/>
    </w:rPr>
  </w:style>
  <w:style w:type="paragraph" w:customStyle="1" w:styleId="88">
    <w:name w:val="_正文段落"/>
    <w:basedOn w:val="1"/>
    <w:autoRedefine/>
    <w:qFormat/>
    <w:uiPriority w:val="0"/>
    <w:pPr>
      <w:spacing w:beforeLines="15" w:line="360" w:lineRule="auto"/>
      <w:ind w:firstLine="480" w:firstLineChars="200"/>
    </w:pPr>
    <w:rPr>
      <w:rFonts w:ascii="宋体" w:hAnsi="宋体"/>
      <w:kern w:val="0"/>
      <w:sz w:val="24"/>
    </w:rPr>
  </w:style>
  <w:style w:type="paragraph" w:customStyle="1" w:styleId="89">
    <w:name w:val="Char1"/>
    <w:basedOn w:val="1"/>
    <w:autoRedefine/>
    <w:qFormat/>
    <w:uiPriority w:val="0"/>
    <w:rPr>
      <w:rFonts w:ascii="Tahoma" w:hAnsi="Tahoma" w:eastAsia="宋体"/>
      <w:sz w:val="24"/>
    </w:rPr>
  </w:style>
  <w:style w:type="paragraph" w:customStyle="1" w:styleId="90">
    <w:name w:val="font7"/>
    <w:basedOn w:val="1"/>
    <w:autoRedefine/>
    <w:qFormat/>
    <w:uiPriority w:val="0"/>
    <w:pPr>
      <w:widowControl/>
      <w:spacing w:before="100" w:beforeAutospacing="1" w:after="100" w:afterAutospacing="1"/>
      <w:jc w:val="left"/>
    </w:pPr>
    <w:rPr>
      <w:rFonts w:ascii="Verdana" w:hAnsi="Verdana"/>
      <w:kern w:val="0"/>
      <w:sz w:val="20"/>
      <w:szCs w:val="20"/>
    </w:rPr>
  </w:style>
  <w:style w:type="paragraph" w:customStyle="1" w:styleId="91">
    <w:name w:val=" Char Char Char"/>
    <w:basedOn w:val="1"/>
    <w:autoRedefine/>
    <w:qFormat/>
    <w:uiPriority w:val="0"/>
    <w:pPr>
      <w:adjustRightInd w:val="0"/>
      <w:spacing w:line="360" w:lineRule="auto"/>
    </w:pPr>
    <w:rPr>
      <w:kern w:val="28"/>
      <w:sz w:val="28"/>
      <w:szCs w:val="20"/>
    </w:rPr>
  </w:style>
  <w:style w:type="paragraph" w:customStyle="1" w:styleId="92">
    <w:name w:val="Plain Text1"/>
    <w:basedOn w:val="1"/>
    <w:autoRedefine/>
    <w:qFormat/>
    <w:uiPriority w:val="99"/>
    <w:pPr>
      <w:adjustRightInd w:val="0"/>
    </w:pPr>
    <w:rPr>
      <w:rFonts w:hAnsi="Courier New" w:eastAsia="楷体_GB2312"/>
      <w:sz w:val="28"/>
      <w:szCs w:val="20"/>
    </w:rPr>
  </w:style>
  <w:style w:type="paragraph" w:customStyle="1" w:styleId="93">
    <w:name w:val="纯文本4"/>
    <w:basedOn w:val="1"/>
    <w:autoRedefine/>
    <w:qFormat/>
    <w:uiPriority w:val="0"/>
    <w:pPr>
      <w:adjustRightInd w:val="0"/>
      <w:textAlignment w:val="baseline"/>
    </w:pPr>
    <w:rPr>
      <w:rFonts w:ascii="宋体" w:hAnsi="Courier New" w:eastAsia="楷体_GB2312"/>
      <w:sz w:val="28"/>
    </w:rPr>
  </w:style>
  <w:style w:type="paragraph" w:customStyle="1" w:styleId="94">
    <w:name w:val="表中"/>
    <w:basedOn w:val="1"/>
    <w:autoRedefine/>
    <w:qFormat/>
    <w:uiPriority w:val="0"/>
    <w:pPr>
      <w:adjustRightInd w:val="0"/>
      <w:spacing w:line="360" w:lineRule="atLeast"/>
      <w:jc w:val="center"/>
      <w:textAlignment w:val="baseline"/>
    </w:pPr>
    <w:rPr>
      <w:rFonts w:eastAsia="宋体"/>
      <w:kern w:val="0"/>
      <w:sz w:val="21"/>
    </w:rPr>
  </w:style>
  <w:style w:type="paragraph" w:customStyle="1" w:styleId="95">
    <w:name w:val="_Style 93"/>
    <w:basedOn w:val="2"/>
    <w:next w:val="1"/>
    <w:autoRedefine/>
    <w:qFormat/>
    <w:uiPriority w:val="39"/>
    <w:pPr>
      <w:keepNext/>
      <w:keepLines/>
      <w:widowControl/>
      <w:overflowPunct/>
      <w:spacing w:before="240" w:line="259" w:lineRule="auto"/>
      <w:outlineLvl w:val="9"/>
    </w:pPr>
    <w:rPr>
      <w:rFonts w:ascii="等线 Light" w:hAnsi="等线 Light" w:eastAsia="等线 Light" w:cs="Times New Roman"/>
      <w:b w:val="0"/>
      <w:bCs w:val="0"/>
      <w:color w:val="2F5496"/>
      <w:sz w:val="32"/>
      <w:szCs w:val="32"/>
    </w:rPr>
  </w:style>
  <w:style w:type="paragraph" w:customStyle="1" w:styleId="96">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97">
    <w:name w:val="p17"/>
    <w:basedOn w:val="1"/>
    <w:autoRedefine/>
    <w:qFormat/>
    <w:uiPriority w:val="0"/>
    <w:pPr>
      <w:widowControl w:val="0"/>
      <w:snapToGrid w:val="0"/>
      <w:jc w:val="both"/>
    </w:pPr>
    <w:rPr>
      <w:rFonts w:eastAsia="楷体_GB2312"/>
      <w:kern w:val="2"/>
      <w:sz w:val="26"/>
      <w:szCs w:val="26"/>
    </w:rPr>
  </w:style>
  <w:style w:type="paragraph" w:customStyle="1" w:styleId="98">
    <w:name w:val="列出段落2"/>
    <w:basedOn w:val="1"/>
    <w:autoRedefine/>
    <w:qFormat/>
    <w:uiPriority w:val="99"/>
    <w:pPr>
      <w:ind w:firstLine="420" w:firstLineChars="200"/>
    </w:pPr>
    <w:rPr>
      <w:rFonts w:ascii="Calibri" w:hAnsi="Calibri"/>
      <w:szCs w:val="20"/>
    </w:rPr>
  </w:style>
  <w:style w:type="paragraph" w:customStyle="1" w:styleId="99">
    <w:name w:val="Char Char Char Char"/>
    <w:basedOn w:val="1"/>
    <w:autoRedefine/>
    <w:qFormat/>
    <w:uiPriority w:val="0"/>
    <w:rPr>
      <w:szCs w:val="20"/>
    </w:rPr>
  </w:style>
  <w:style w:type="table" w:customStyle="1" w:styleId="100">
    <w:name w:val="网格型1"/>
    <w:basedOn w:val="27"/>
    <w:autoRedefine/>
    <w:unhideWhenUsed/>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1">
    <w:name w:val="Table Paragraph"/>
    <w:basedOn w:val="1"/>
    <w:autoRedefine/>
    <w:qFormat/>
    <w:uiPriority w:val="1"/>
    <w:rPr>
      <w:rFonts w:ascii="宋体" w:hAnsi="宋体" w:eastAsia="宋体" w:cs="宋体"/>
      <w:lang w:val="zh-CN" w:bidi="zh-CN"/>
    </w:rPr>
  </w:style>
  <w:style w:type="paragraph" w:customStyle="1" w:styleId="102">
    <w:name w:val="普通(网站)1"/>
    <w:basedOn w:val="1"/>
    <w:autoRedefine/>
    <w:qFormat/>
    <w:uiPriority w:val="0"/>
    <w:pPr>
      <w:widowControl/>
      <w:spacing w:before="100" w:beforeAutospacing="1" w:after="100" w:afterAutospacing="1"/>
      <w:jc w:val="left"/>
    </w:pPr>
    <w:rPr>
      <w:rFonts w:ascii="宋体" w:hAnsi="宋体" w:cs="宋体"/>
      <w:sz w:val="24"/>
    </w:rPr>
  </w:style>
  <w:style w:type="table" w:customStyle="1" w:styleId="103">
    <w:name w:val="Table Normal"/>
    <w:qFormat/>
    <w:uiPriority w:val="0"/>
    <w:rPr>
      <w:rFonts w:ascii="Times New Roman" w:hAnsi="Times New Roman" w:eastAsia="Times New Roman" w:cs="Times New Roman"/>
      <w:kern w:val="0"/>
      <w:sz w:val="20"/>
      <w:szCs w:val="20"/>
    </w:rPr>
    <w:tblPr>
      <w:tblCellMar>
        <w:top w:w="0" w:type="dxa"/>
        <w:left w:w="0" w:type="dxa"/>
        <w:bottom w:w="0" w:type="dxa"/>
        <w:right w:w="0" w:type="dxa"/>
      </w:tblCellMar>
    </w:tblPr>
  </w:style>
  <w:style w:type="paragraph" w:customStyle="1" w:styleId="104">
    <w:name w:val="Table Text"/>
    <w:semiHidden/>
    <w:qFormat/>
    <w:uiPriority w:val="0"/>
    <w:pPr>
      <w:widowControl w:val="0"/>
      <w:jc w:val="both"/>
    </w:pPr>
    <w:rPr>
      <w:rFonts w:ascii="宋体" w:hAnsi="宋体" w:eastAsia="宋体" w:cs="宋体"/>
      <w:kern w:val="2"/>
      <w:sz w:val="12"/>
      <w:szCs w:val="1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61</Pages>
  <Words>14482</Words>
  <Characters>15938</Characters>
  <Lines>201</Lines>
  <Paragraphs>56</Paragraphs>
  <TotalTime>9</TotalTime>
  <ScaleCrop>false</ScaleCrop>
  <LinksUpToDate>false</LinksUpToDate>
  <CharactersWithSpaces>16138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2022-03-03T07:29:00Z</dcterms:created>
  <dc:creator>微软用户</dc:creator>
  <cp:lastModifiedBy>王晓品</cp:lastModifiedBy>
  <cp:lastPrinted>2023-09-25T02:46:00Z</cp:lastPrinted>
  <dcterms:modified xsi:type="dcterms:W3CDTF">2026-05-20T04:59:26Z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F473DD07BF164181BE0C146611FB790B_13</vt:lpwstr>
  </property>
  <property fmtid="{D5CDD505-2E9C-101B-9397-08002B2CF9AE}" pid="4" name="KSOTemplateDocerSaveRecord">
    <vt:lpwstr>eyJoZGlkIjoiMzMxZjlmMjQ2N2E2ODhiOTYxYTNlNjZjMmY2OTgzZjkiLCJ1c2VySWQiOiI4MTUxMzkxNzUifQ==</vt:lpwstr>
  </property>
</Properties>
</file>